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ore.xml" ContentType="application/vnd.openxmlformats-package.core-properties+xml"/>
  <Override PartName="/word/fontTable.xml" ContentType="application/vnd.openxmlformats-officedocument.wordprocessingml.fontTable+xml"/>
  <Override PartName="/word/webSettings.xml" ContentType="application/vnd.openxmlformats-officedocument.wordprocessingml.webSetting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622E6" w:rsidRPr="00E81438" w:rsidRDefault="00E622E6" w:rsidP="00E622E6">
      <w:pPr>
        <w:jc w:val="center"/>
        <w:rPr>
          <w:rFonts w:cstheme="minorHAnsi"/>
          <w:b/>
        </w:rPr>
      </w:pPr>
      <w:r w:rsidRPr="00E81438">
        <w:rPr>
          <w:rFonts w:cstheme="minorHAnsi"/>
          <w:b/>
        </w:rPr>
        <w:t>EOB Research</w:t>
      </w:r>
    </w:p>
    <w:p w:rsidR="0023712D" w:rsidRPr="00E81438" w:rsidRDefault="00BB0B1A">
      <w:pPr>
        <w:rPr>
          <w:rFonts w:cstheme="minorHAnsi"/>
        </w:rPr>
      </w:pPr>
      <w:r w:rsidRPr="00E81438">
        <w:rPr>
          <w:rFonts w:cstheme="minorHAnsi"/>
          <w:noProof/>
        </w:rPr>
        <w:drawing>
          <wp:inline distT="0" distB="0" distL="0" distR="0" wp14:anchorId="72CD794C" wp14:editId="4FB33CDD">
            <wp:extent cx="5390174" cy="2604770"/>
            <wp:effectExtent l="0" t="0" r="127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554" t="11782" r="4739" b="22461"/>
                    <a:stretch/>
                  </pic:blipFill>
                  <pic:spPr bwMode="auto">
                    <a:xfrm>
                      <a:off x="0" y="0"/>
                      <a:ext cx="5391288" cy="2605309"/>
                    </a:xfrm>
                    <a:prstGeom prst="rect">
                      <a:avLst/>
                    </a:prstGeom>
                    <a:ln>
                      <a:noFill/>
                    </a:ln>
                    <a:extLst>
                      <a:ext uri="{53640926-AAD7-44D8-BBD7-CCE9431645EC}">
                        <a14:shadowObscured xmlns:a14="http://schemas.microsoft.com/office/drawing/2010/main"/>
                      </a:ext>
                    </a:extLst>
                  </pic:spPr>
                </pic:pic>
              </a:graphicData>
            </a:graphic>
          </wp:inline>
        </w:drawing>
      </w:r>
      <w:r w:rsidRPr="00E81438">
        <w:rPr>
          <w:rFonts w:cstheme="minorHAnsi"/>
          <w:noProof/>
        </w:rPr>
        <w:drawing>
          <wp:inline distT="0" distB="0" distL="0" distR="0" wp14:anchorId="03DC6FD1" wp14:editId="3ABA545B">
            <wp:extent cx="5442204" cy="2494146"/>
            <wp:effectExtent l="0" t="0" r="635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
                    <a:srcRect l="3693" t="15138" r="4724" b="21903"/>
                    <a:stretch/>
                  </pic:blipFill>
                  <pic:spPr bwMode="auto">
                    <a:xfrm>
                      <a:off x="0" y="0"/>
                      <a:ext cx="5443311" cy="2494653"/>
                    </a:xfrm>
                    <a:prstGeom prst="rect">
                      <a:avLst/>
                    </a:prstGeom>
                    <a:ln>
                      <a:noFill/>
                    </a:ln>
                    <a:extLst>
                      <a:ext uri="{53640926-AAD7-44D8-BBD7-CCE9431645EC}">
                        <a14:shadowObscured xmlns:a14="http://schemas.microsoft.com/office/drawing/2010/main"/>
                      </a:ext>
                    </a:extLst>
                  </pic:spPr>
                </pic:pic>
              </a:graphicData>
            </a:graphic>
          </wp:inline>
        </w:drawing>
      </w:r>
    </w:p>
    <w:p w:rsidR="0076060B" w:rsidRPr="00E81438" w:rsidRDefault="0023712D">
      <w:pPr>
        <w:rPr>
          <w:rFonts w:cstheme="minorHAnsi"/>
        </w:rPr>
      </w:pPr>
      <w:sdt>
        <w:sdtPr>
          <w:rPr>
            <w:rFonts w:cstheme="minorHAnsi"/>
          </w:rPr>
          <w:id w:val="529153470"/>
          <w:citation/>
        </w:sdtPr>
        <w:sdtContent>
          <w:r w:rsidRPr="00E81438">
            <w:rPr>
              <w:rFonts w:cstheme="minorHAnsi"/>
            </w:rPr>
            <w:fldChar w:fldCharType="begin"/>
          </w:r>
          <w:r w:rsidRPr="00E81438">
            <w:rPr>
              <w:rFonts w:cstheme="minorHAnsi"/>
            </w:rPr>
            <w:instrText xml:space="preserve"> CITATION AAP18 \l 1033 </w:instrText>
          </w:r>
          <w:r w:rsidRPr="00E81438">
            <w:rPr>
              <w:rFonts w:cstheme="minorHAnsi"/>
            </w:rPr>
            <w:fldChar w:fldCharType="separate"/>
          </w:r>
          <w:r w:rsidRPr="00E81438">
            <w:rPr>
              <w:rFonts w:cstheme="minorHAnsi"/>
              <w:noProof/>
            </w:rPr>
            <w:t xml:space="preserve"> (AAP, 2018)</w:t>
          </w:r>
          <w:r w:rsidRPr="00E81438">
            <w:rPr>
              <w:rFonts w:cstheme="minorHAnsi"/>
            </w:rPr>
            <w:fldChar w:fldCharType="end"/>
          </w:r>
        </w:sdtContent>
      </w:sdt>
    </w:p>
    <w:p w:rsidR="00D23A12" w:rsidRPr="00E81438" w:rsidRDefault="00D23A12" w:rsidP="00020EE6">
      <w:pPr>
        <w:rPr>
          <w:rFonts w:cstheme="minorHAnsi"/>
          <w:b/>
        </w:rPr>
      </w:pPr>
      <w:r w:rsidRPr="00E81438">
        <w:rPr>
          <w:rFonts w:cstheme="minorHAnsi"/>
          <w:b/>
        </w:rPr>
        <w:t>Medicaid</w:t>
      </w:r>
    </w:p>
    <w:p w:rsidR="00020EE6" w:rsidRPr="00E81438" w:rsidRDefault="00020EE6" w:rsidP="00020EE6">
      <w:pPr>
        <w:rPr>
          <w:rFonts w:cstheme="minorHAnsi"/>
        </w:rPr>
      </w:pPr>
      <w:r w:rsidRPr="00E81438">
        <w:rPr>
          <w:rFonts w:cstheme="minorHAnsi"/>
        </w:rPr>
        <w:t xml:space="preserve">Medicaid does not have the same requirements to send out EOBs. However, in many states, fee-for-service Medicaid plans may send out periodic EOBs as a method of complying with the federal regulation to combat fraud and verify receipt of services with Medicaid beneficiaries. States have other methods of complying with this regulation and </w:t>
      </w:r>
      <w:proofErr w:type="gramStart"/>
      <w:r w:rsidRPr="00E81438">
        <w:rPr>
          <w:rFonts w:cstheme="minorHAnsi"/>
        </w:rPr>
        <w:t>can also</w:t>
      </w:r>
      <w:proofErr w:type="gramEnd"/>
      <w:r w:rsidRPr="00E81438">
        <w:rPr>
          <w:rFonts w:cstheme="minorHAnsi"/>
        </w:rPr>
        <w:t xml:space="preserve"> exclude certain services, such as family planning, from EOBs. </w:t>
      </w:r>
    </w:p>
    <w:p w:rsidR="00E81438" w:rsidRPr="00E81438" w:rsidRDefault="00E81438" w:rsidP="00020EE6">
      <w:pPr>
        <w:pStyle w:val="Default"/>
        <w:rPr>
          <w:rFonts w:asciiTheme="minorHAnsi" w:hAnsiTheme="minorHAnsi" w:cstheme="minorHAnsi"/>
          <w:sz w:val="22"/>
          <w:szCs w:val="22"/>
        </w:rPr>
      </w:pPr>
    </w:p>
    <w:p w:rsidR="00E81438" w:rsidRPr="00E81438" w:rsidRDefault="00E81438" w:rsidP="00020EE6">
      <w:pPr>
        <w:pStyle w:val="Default"/>
        <w:rPr>
          <w:rFonts w:asciiTheme="minorHAnsi" w:hAnsiTheme="minorHAnsi" w:cstheme="minorHAnsi"/>
          <w:sz w:val="22"/>
          <w:szCs w:val="22"/>
        </w:rPr>
      </w:pPr>
    </w:p>
    <w:p w:rsidR="00E81438" w:rsidRPr="00E81438" w:rsidRDefault="00E81438" w:rsidP="00020EE6">
      <w:pPr>
        <w:pStyle w:val="Default"/>
        <w:rPr>
          <w:rFonts w:asciiTheme="minorHAnsi" w:hAnsiTheme="minorHAnsi" w:cstheme="minorHAnsi"/>
          <w:sz w:val="22"/>
          <w:szCs w:val="22"/>
        </w:rPr>
      </w:pPr>
    </w:p>
    <w:p w:rsidR="00E81438" w:rsidRPr="00E81438" w:rsidRDefault="00E81438" w:rsidP="00020EE6">
      <w:pPr>
        <w:pStyle w:val="Default"/>
        <w:rPr>
          <w:rFonts w:asciiTheme="minorHAnsi" w:hAnsiTheme="minorHAnsi" w:cstheme="minorHAnsi"/>
          <w:sz w:val="22"/>
          <w:szCs w:val="22"/>
        </w:rPr>
      </w:pPr>
    </w:p>
    <w:p w:rsidR="00E81438" w:rsidRPr="00E81438" w:rsidRDefault="00E81438" w:rsidP="00020EE6">
      <w:pPr>
        <w:pStyle w:val="Default"/>
        <w:rPr>
          <w:rFonts w:asciiTheme="minorHAnsi" w:hAnsiTheme="minorHAnsi" w:cstheme="minorHAnsi"/>
          <w:sz w:val="22"/>
          <w:szCs w:val="22"/>
        </w:rPr>
      </w:pPr>
    </w:p>
    <w:p w:rsidR="00020EE6" w:rsidRPr="00E81438" w:rsidRDefault="00020EE6" w:rsidP="00020EE6">
      <w:pPr>
        <w:pStyle w:val="Default"/>
        <w:rPr>
          <w:rFonts w:asciiTheme="minorHAnsi" w:hAnsiTheme="minorHAnsi" w:cstheme="minorHAnsi"/>
          <w:sz w:val="22"/>
          <w:szCs w:val="22"/>
        </w:rPr>
      </w:pPr>
      <w:r w:rsidRPr="00E81438">
        <w:rPr>
          <w:rFonts w:asciiTheme="minorHAnsi" w:hAnsiTheme="minorHAnsi" w:cstheme="minorHAnsi"/>
          <w:sz w:val="22"/>
          <w:szCs w:val="22"/>
        </w:rPr>
        <w:lastRenderedPageBreak/>
        <w:t xml:space="preserve">The following is a summary of state approaches: </w:t>
      </w:r>
    </w:p>
    <w:p w:rsidR="00020EE6" w:rsidRPr="00E81438" w:rsidRDefault="00020EE6" w:rsidP="00020EE6">
      <w:pPr>
        <w:pStyle w:val="Default"/>
        <w:rPr>
          <w:rFonts w:asciiTheme="minorHAnsi" w:hAnsiTheme="minorHAnsi" w:cstheme="minorHAnsi"/>
          <w:sz w:val="22"/>
          <w:szCs w:val="22"/>
        </w:rPr>
      </w:pPr>
      <w:r w:rsidRPr="00E81438">
        <w:rPr>
          <w:rFonts w:asciiTheme="minorHAnsi" w:hAnsiTheme="minorHAnsi" w:cstheme="minorHAnsi"/>
          <w:b/>
          <w:bCs/>
          <w:sz w:val="22"/>
          <w:szCs w:val="22"/>
        </w:rPr>
        <w:t xml:space="preserve">Enacted through legislation: </w:t>
      </w:r>
    </w:p>
    <w:p w:rsidR="00020EE6" w:rsidRPr="00E81438" w:rsidRDefault="00020EE6" w:rsidP="00E622E6">
      <w:pPr>
        <w:pStyle w:val="Default"/>
        <w:numPr>
          <w:ilvl w:val="0"/>
          <w:numId w:val="3"/>
        </w:numPr>
        <w:spacing w:after="27"/>
        <w:rPr>
          <w:rFonts w:asciiTheme="minorHAnsi" w:hAnsiTheme="minorHAnsi" w:cstheme="minorHAnsi"/>
          <w:sz w:val="22"/>
          <w:szCs w:val="22"/>
        </w:rPr>
      </w:pPr>
      <w:r w:rsidRPr="00E81438">
        <w:rPr>
          <w:rFonts w:asciiTheme="minorHAnsi" w:hAnsiTheme="minorHAnsi" w:cstheme="minorHAnsi"/>
          <w:sz w:val="22"/>
          <w:szCs w:val="22"/>
        </w:rPr>
        <w:t xml:space="preserve">State requires insurers to provide confidential communications upon written request of insured dependent (including minors): CA, MD, OR </w:t>
      </w:r>
    </w:p>
    <w:p w:rsidR="00020EE6" w:rsidRPr="00E81438" w:rsidRDefault="00020EE6" w:rsidP="00E622E6">
      <w:pPr>
        <w:pStyle w:val="Default"/>
        <w:numPr>
          <w:ilvl w:val="0"/>
          <w:numId w:val="3"/>
        </w:numPr>
        <w:rPr>
          <w:rFonts w:asciiTheme="minorHAnsi" w:hAnsiTheme="minorHAnsi" w:cstheme="minorHAnsi"/>
          <w:sz w:val="22"/>
          <w:szCs w:val="22"/>
        </w:rPr>
      </w:pPr>
      <w:r w:rsidRPr="00E81438">
        <w:rPr>
          <w:rFonts w:asciiTheme="minorHAnsi" w:hAnsiTheme="minorHAnsi" w:cstheme="minorHAnsi"/>
          <w:sz w:val="22"/>
          <w:szCs w:val="22"/>
        </w:rPr>
        <w:t xml:space="preserve">EOB protections: </w:t>
      </w:r>
    </w:p>
    <w:p w:rsidR="00020EE6" w:rsidRPr="00E81438" w:rsidRDefault="00E622E6" w:rsidP="00E622E6">
      <w:pPr>
        <w:pStyle w:val="Default"/>
        <w:numPr>
          <w:ilvl w:val="1"/>
          <w:numId w:val="3"/>
        </w:numPr>
        <w:spacing w:after="17"/>
        <w:rPr>
          <w:rFonts w:asciiTheme="minorHAnsi" w:hAnsiTheme="minorHAnsi" w:cstheme="minorHAnsi"/>
          <w:sz w:val="22"/>
          <w:szCs w:val="22"/>
        </w:rPr>
      </w:pPr>
      <w:r w:rsidRPr="00E81438">
        <w:rPr>
          <w:rFonts w:asciiTheme="minorHAnsi" w:hAnsiTheme="minorHAnsi" w:cstheme="minorHAnsi"/>
          <w:sz w:val="22"/>
          <w:szCs w:val="22"/>
        </w:rPr>
        <w:t>N</w:t>
      </w:r>
      <w:r w:rsidR="00020EE6" w:rsidRPr="00E81438">
        <w:rPr>
          <w:rFonts w:asciiTheme="minorHAnsi" w:hAnsiTheme="minorHAnsi" w:cstheme="minorHAnsi"/>
          <w:sz w:val="22"/>
          <w:szCs w:val="22"/>
        </w:rPr>
        <w:t xml:space="preserve">o EOB required (unless requested by the patient) when there is no balance: NY, WI </w:t>
      </w:r>
    </w:p>
    <w:p w:rsidR="00020EE6" w:rsidRPr="00E81438" w:rsidRDefault="00020EE6" w:rsidP="00E622E6">
      <w:pPr>
        <w:pStyle w:val="Default"/>
        <w:numPr>
          <w:ilvl w:val="1"/>
          <w:numId w:val="3"/>
        </w:numPr>
        <w:rPr>
          <w:rFonts w:asciiTheme="minorHAnsi" w:hAnsiTheme="minorHAnsi" w:cstheme="minorHAnsi"/>
          <w:sz w:val="22"/>
          <w:szCs w:val="22"/>
        </w:rPr>
      </w:pPr>
      <w:r w:rsidRPr="00E81438">
        <w:rPr>
          <w:rFonts w:asciiTheme="minorHAnsi" w:hAnsiTheme="minorHAnsi" w:cstheme="minorHAnsi"/>
          <w:sz w:val="22"/>
          <w:szCs w:val="22"/>
        </w:rPr>
        <w:t xml:space="preserve">EOBs suppressed in Medicaid for sensitive services: IL </w:t>
      </w:r>
    </w:p>
    <w:p w:rsidR="00020EE6" w:rsidRPr="00E81438" w:rsidRDefault="00020EE6" w:rsidP="00E622E6">
      <w:pPr>
        <w:pStyle w:val="Default"/>
        <w:numPr>
          <w:ilvl w:val="0"/>
          <w:numId w:val="3"/>
        </w:numPr>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Confidentiality for minors: </w:t>
      </w:r>
    </w:p>
    <w:p w:rsidR="00020EE6" w:rsidRPr="00E81438" w:rsidRDefault="00020EE6" w:rsidP="00E622E6">
      <w:pPr>
        <w:pStyle w:val="Default"/>
        <w:numPr>
          <w:ilvl w:val="1"/>
          <w:numId w:val="3"/>
        </w:numPr>
        <w:spacing w:after="18"/>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Broader protections against disclosure of health information without minor’s consent: HI, ME </w:t>
      </w:r>
    </w:p>
    <w:p w:rsidR="00E622E6" w:rsidRPr="00E81438" w:rsidRDefault="00020EE6" w:rsidP="00020EE6">
      <w:pPr>
        <w:pStyle w:val="Default"/>
        <w:numPr>
          <w:ilvl w:val="1"/>
          <w:numId w:val="3"/>
        </w:numPr>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Specifically for STD treatment, including in billing process: CT, DE, FL </w:t>
      </w:r>
    </w:p>
    <w:p w:rsidR="00020EE6" w:rsidRPr="00E81438" w:rsidRDefault="00020EE6" w:rsidP="00020EE6">
      <w:pPr>
        <w:pStyle w:val="Default"/>
        <w:rPr>
          <w:rFonts w:asciiTheme="minorHAnsi" w:hAnsiTheme="minorHAnsi" w:cstheme="minorHAnsi"/>
          <w:color w:val="auto"/>
          <w:sz w:val="22"/>
          <w:szCs w:val="22"/>
        </w:rPr>
      </w:pPr>
      <w:r w:rsidRPr="00E81438">
        <w:rPr>
          <w:rFonts w:asciiTheme="minorHAnsi" w:hAnsiTheme="minorHAnsi" w:cstheme="minorHAnsi"/>
          <w:b/>
          <w:bCs/>
          <w:color w:val="auto"/>
          <w:sz w:val="22"/>
          <w:szCs w:val="22"/>
        </w:rPr>
        <w:t xml:space="preserve">Enacted through regulation: </w:t>
      </w:r>
    </w:p>
    <w:p w:rsidR="00020EE6" w:rsidRPr="00E81438" w:rsidRDefault="00020EE6" w:rsidP="00E622E6">
      <w:pPr>
        <w:pStyle w:val="Default"/>
        <w:numPr>
          <w:ilvl w:val="0"/>
          <w:numId w:val="4"/>
        </w:numPr>
        <w:spacing w:after="27"/>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State requires insurers to provide confidential communications upon written request of insured dependent (including minors): WA </w:t>
      </w:r>
    </w:p>
    <w:p w:rsidR="00020EE6" w:rsidRPr="00E81438" w:rsidRDefault="00020EE6" w:rsidP="00E622E6">
      <w:pPr>
        <w:pStyle w:val="Default"/>
        <w:numPr>
          <w:ilvl w:val="0"/>
          <w:numId w:val="4"/>
        </w:numPr>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State requires insurers to provide confidential communications upon written request of insured dependent (excluding minors): CO </w:t>
      </w:r>
    </w:p>
    <w:p w:rsidR="00020EE6" w:rsidRPr="00E81438" w:rsidRDefault="00020EE6" w:rsidP="00020EE6">
      <w:pPr>
        <w:pStyle w:val="Default"/>
        <w:rPr>
          <w:rFonts w:asciiTheme="minorHAnsi" w:hAnsiTheme="minorHAnsi" w:cstheme="minorHAnsi"/>
          <w:color w:val="auto"/>
          <w:sz w:val="22"/>
          <w:szCs w:val="22"/>
        </w:rPr>
      </w:pPr>
    </w:p>
    <w:p w:rsidR="00020EE6" w:rsidRPr="00E81438" w:rsidRDefault="00020EE6" w:rsidP="00020EE6">
      <w:pPr>
        <w:pStyle w:val="Default"/>
        <w:rPr>
          <w:rFonts w:asciiTheme="minorHAnsi" w:hAnsiTheme="minorHAnsi" w:cstheme="minorHAnsi"/>
          <w:color w:val="auto"/>
          <w:sz w:val="22"/>
          <w:szCs w:val="22"/>
        </w:rPr>
      </w:pPr>
      <w:r w:rsidRPr="00E81438">
        <w:rPr>
          <w:rFonts w:asciiTheme="minorHAnsi" w:hAnsiTheme="minorHAnsi" w:cstheme="minorHAnsi"/>
          <w:b/>
          <w:bCs/>
          <w:color w:val="auto"/>
          <w:sz w:val="22"/>
          <w:szCs w:val="22"/>
        </w:rPr>
        <w:t xml:space="preserve">Policies for Medicaid managed care organizations: </w:t>
      </w:r>
    </w:p>
    <w:p w:rsidR="00020EE6" w:rsidRPr="00E81438" w:rsidRDefault="00020EE6" w:rsidP="00E622E6">
      <w:pPr>
        <w:pStyle w:val="Default"/>
        <w:numPr>
          <w:ilvl w:val="0"/>
          <w:numId w:val="5"/>
        </w:numPr>
        <w:spacing w:after="30"/>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Policy memorandum requiring these organizations to suppress EOBs for healthcare services provided to minors who can consent to their own health care: NY </w:t>
      </w:r>
    </w:p>
    <w:p w:rsidR="00020EE6" w:rsidRPr="00E81438" w:rsidRDefault="00020EE6" w:rsidP="00E622E6">
      <w:pPr>
        <w:pStyle w:val="Default"/>
        <w:numPr>
          <w:ilvl w:val="0"/>
          <w:numId w:val="5"/>
        </w:numPr>
        <w:rPr>
          <w:rFonts w:asciiTheme="minorHAnsi" w:hAnsiTheme="minorHAnsi" w:cstheme="minorHAnsi"/>
          <w:color w:val="auto"/>
          <w:sz w:val="22"/>
          <w:szCs w:val="22"/>
        </w:rPr>
      </w:pPr>
      <w:r w:rsidRPr="00E81438">
        <w:rPr>
          <w:rFonts w:asciiTheme="minorHAnsi" w:hAnsiTheme="minorHAnsi" w:cstheme="minorHAnsi"/>
          <w:color w:val="auto"/>
          <w:sz w:val="22"/>
          <w:szCs w:val="22"/>
        </w:rPr>
        <w:t xml:space="preserve">Managed care contract amendments to conform with state law confidentiality protections: IL </w:t>
      </w:r>
    </w:p>
    <w:p w:rsidR="00020EE6" w:rsidRPr="00E81438" w:rsidRDefault="00020EE6" w:rsidP="00020EE6">
      <w:pPr>
        <w:rPr>
          <w:rFonts w:cstheme="minorHAnsi"/>
        </w:rPr>
      </w:pPr>
    </w:p>
    <w:p w:rsidR="00020EE6" w:rsidRPr="00E81438" w:rsidRDefault="00020EE6" w:rsidP="00020EE6">
      <w:pPr>
        <w:pStyle w:val="Default"/>
        <w:rPr>
          <w:rFonts w:asciiTheme="minorHAnsi" w:hAnsiTheme="minorHAnsi" w:cstheme="minorHAnsi"/>
          <w:sz w:val="22"/>
          <w:szCs w:val="22"/>
        </w:rPr>
      </w:pPr>
      <w:r w:rsidRPr="00E81438">
        <w:rPr>
          <w:rFonts w:asciiTheme="minorHAnsi" w:hAnsiTheme="minorHAnsi" w:cstheme="minorHAnsi"/>
          <w:b/>
          <w:bCs/>
          <w:sz w:val="22"/>
          <w:szCs w:val="22"/>
        </w:rPr>
        <w:t xml:space="preserve">A Closer Look at Sample State Approaches </w:t>
      </w:r>
    </w:p>
    <w:p w:rsidR="00E81438" w:rsidRDefault="00F32610" w:rsidP="00020EE6">
      <w:pPr>
        <w:pStyle w:val="Default"/>
        <w:rPr>
          <w:rFonts w:asciiTheme="minorHAnsi" w:hAnsiTheme="minorHAnsi" w:cstheme="minorHAnsi"/>
          <w:sz w:val="22"/>
          <w:szCs w:val="22"/>
        </w:rPr>
      </w:pPr>
      <w:r>
        <w:rPr>
          <w:rFonts w:asciiTheme="minorHAnsi" w:hAnsiTheme="minorHAnsi" w:cstheme="minorHAnsi"/>
          <w:sz w:val="22"/>
          <w:szCs w:val="22"/>
        </w:rPr>
        <w:t>California</w:t>
      </w:r>
    </w:p>
    <w:p w:rsidR="00C85DC3" w:rsidRDefault="00020EE6" w:rsidP="00C85DC3">
      <w:pPr>
        <w:pStyle w:val="Default"/>
        <w:numPr>
          <w:ilvl w:val="0"/>
          <w:numId w:val="7"/>
        </w:numPr>
        <w:rPr>
          <w:rFonts w:asciiTheme="minorHAnsi" w:hAnsiTheme="minorHAnsi" w:cstheme="minorHAnsi"/>
          <w:sz w:val="22"/>
          <w:szCs w:val="22"/>
        </w:rPr>
      </w:pPr>
      <w:r w:rsidRPr="00E81438">
        <w:rPr>
          <w:rFonts w:asciiTheme="minorHAnsi" w:hAnsiTheme="minorHAnsi" w:cstheme="minorHAnsi"/>
          <w:sz w:val="22"/>
          <w:szCs w:val="22"/>
        </w:rPr>
        <w:t xml:space="preserve">California’s Confidential Health Information Act, Cal. Civil Code § 56 et </w:t>
      </w:r>
      <w:proofErr w:type="spellStart"/>
      <w:r w:rsidRPr="00E81438">
        <w:rPr>
          <w:rFonts w:asciiTheme="minorHAnsi" w:hAnsiTheme="minorHAnsi" w:cstheme="minorHAnsi"/>
          <w:sz w:val="22"/>
          <w:szCs w:val="22"/>
        </w:rPr>
        <w:t>seq</w:t>
      </w:r>
      <w:proofErr w:type="spellEnd"/>
      <w:r w:rsidRPr="00E81438">
        <w:rPr>
          <w:rFonts w:asciiTheme="minorHAnsi" w:hAnsiTheme="minorHAnsi" w:cstheme="minorHAnsi"/>
          <w:sz w:val="22"/>
          <w:szCs w:val="22"/>
        </w:rPr>
        <w:t xml:space="preserve"> </w:t>
      </w:r>
      <w:sdt>
        <w:sdtPr>
          <w:rPr>
            <w:rFonts w:asciiTheme="minorHAnsi" w:hAnsiTheme="minorHAnsi" w:cstheme="minorHAnsi"/>
            <w:sz w:val="22"/>
            <w:szCs w:val="22"/>
          </w:rPr>
          <w:id w:val="208929781"/>
          <w:citation/>
        </w:sdtPr>
        <w:sdtContent>
          <w:r w:rsidR="00C85DC3">
            <w:rPr>
              <w:rFonts w:asciiTheme="minorHAnsi" w:hAnsiTheme="minorHAnsi" w:cstheme="minorHAnsi"/>
              <w:sz w:val="22"/>
              <w:szCs w:val="22"/>
            </w:rPr>
            <w:fldChar w:fldCharType="begin"/>
          </w:r>
          <w:r w:rsidR="00C85DC3">
            <w:rPr>
              <w:rFonts w:asciiTheme="minorHAnsi" w:hAnsiTheme="minorHAnsi" w:cstheme="minorHAnsi"/>
              <w:sz w:val="22"/>
              <w:szCs w:val="22"/>
            </w:rPr>
            <w:instrText xml:space="preserve"> CITATION AST18 \l 1033 </w:instrText>
          </w:r>
          <w:r w:rsidR="00C85DC3">
            <w:rPr>
              <w:rFonts w:asciiTheme="minorHAnsi" w:hAnsiTheme="minorHAnsi" w:cstheme="minorHAnsi"/>
              <w:sz w:val="22"/>
              <w:szCs w:val="22"/>
            </w:rPr>
            <w:fldChar w:fldCharType="separate"/>
          </w:r>
          <w:r w:rsidR="00C85DC3" w:rsidRPr="00C85DC3">
            <w:rPr>
              <w:rFonts w:asciiTheme="minorHAnsi" w:hAnsiTheme="minorHAnsi" w:cstheme="minorHAnsi"/>
              <w:noProof/>
              <w:sz w:val="22"/>
              <w:szCs w:val="22"/>
            </w:rPr>
            <w:t>(ASTHO, 2018)</w:t>
          </w:r>
          <w:r w:rsidR="00C85DC3">
            <w:rPr>
              <w:rFonts w:asciiTheme="minorHAnsi" w:hAnsiTheme="minorHAnsi" w:cstheme="minorHAnsi"/>
              <w:sz w:val="22"/>
              <w:szCs w:val="22"/>
            </w:rPr>
            <w:fldChar w:fldCharType="end"/>
          </w:r>
        </w:sdtContent>
      </w:sdt>
    </w:p>
    <w:p w:rsidR="00C85DC3" w:rsidRDefault="00020EE6" w:rsidP="00C85DC3">
      <w:pPr>
        <w:pStyle w:val="Default"/>
        <w:numPr>
          <w:ilvl w:val="0"/>
          <w:numId w:val="7"/>
        </w:numPr>
        <w:rPr>
          <w:rFonts w:asciiTheme="minorHAnsi" w:hAnsiTheme="minorHAnsi" w:cstheme="minorHAnsi"/>
          <w:sz w:val="22"/>
          <w:szCs w:val="22"/>
        </w:rPr>
      </w:pPr>
      <w:proofErr w:type="gramStart"/>
      <w:r w:rsidRPr="00E81438">
        <w:rPr>
          <w:rFonts w:asciiTheme="minorHAnsi" w:hAnsiTheme="minorHAnsi" w:cstheme="minorHAnsi"/>
          <w:sz w:val="22"/>
          <w:szCs w:val="22"/>
        </w:rPr>
        <w:t>builds</w:t>
      </w:r>
      <w:proofErr w:type="gramEnd"/>
      <w:r w:rsidRPr="00E81438">
        <w:rPr>
          <w:rFonts w:asciiTheme="minorHAnsi" w:hAnsiTheme="minorHAnsi" w:cstheme="minorHAnsi"/>
          <w:sz w:val="22"/>
          <w:szCs w:val="22"/>
        </w:rPr>
        <w:t xml:space="preserve"> on the process outlined in the HIPAA Privacy Rule, as well as a strong framework of patient privacy and confidentiality protections, including for minors, that had previously been in place in the state. </w:t>
      </w:r>
      <w:sdt>
        <w:sdtPr>
          <w:rPr>
            <w:rFonts w:asciiTheme="minorHAnsi" w:hAnsiTheme="minorHAnsi" w:cstheme="minorHAnsi"/>
            <w:sz w:val="22"/>
            <w:szCs w:val="22"/>
          </w:rPr>
          <w:id w:val="-2075033563"/>
          <w:citation/>
        </w:sdtPr>
        <w:sdtContent>
          <w:r w:rsidR="00C85DC3">
            <w:rPr>
              <w:rFonts w:asciiTheme="minorHAnsi" w:hAnsiTheme="minorHAnsi" w:cstheme="minorHAnsi"/>
              <w:sz w:val="22"/>
              <w:szCs w:val="22"/>
            </w:rPr>
            <w:fldChar w:fldCharType="begin"/>
          </w:r>
          <w:r w:rsidR="00C85DC3">
            <w:rPr>
              <w:rFonts w:asciiTheme="minorHAnsi" w:hAnsiTheme="minorHAnsi" w:cstheme="minorHAnsi"/>
              <w:sz w:val="22"/>
              <w:szCs w:val="22"/>
            </w:rPr>
            <w:instrText xml:space="preserve"> CITATION AST18 \l 1033 </w:instrText>
          </w:r>
          <w:r w:rsidR="00C85DC3">
            <w:rPr>
              <w:rFonts w:asciiTheme="minorHAnsi" w:hAnsiTheme="minorHAnsi" w:cstheme="minorHAnsi"/>
              <w:sz w:val="22"/>
              <w:szCs w:val="22"/>
            </w:rPr>
            <w:fldChar w:fldCharType="separate"/>
          </w:r>
          <w:r w:rsidR="00C85DC3" w:rsidRPr="00C85DC3">
            <w:rPr>
              <w:rFonts w:asciiTheme="minorHAnsi" w:hAnsiTheme="minorHAnsi" w:cstheme="minorHAnsi"/>
              <w:noProof/>
              <w:sz w:val="22"/>
              <w:szCs w:val="22"/>
            </w:rPr>
            <w:t>(ASTHO, 2018)</w:t>
          </w:r>
          <w:r w:rsidR="00C85DC3">
            <w:rPr>
              <w:rFonts w:asciiTheme="minorHAnsi" w:hAnsiTheme="minorHAnsi" w:cstheme="minorHAnsi"/>
              <w:sz w:val="22"/>
              <w:szCs w:val="22"/>
            </w:rPr>
            <w:fldChar w:fldCharType="end"/>
          </w:r>
        </w:sdtContent>
      </w:sdt>
    </w:p>
    <w:p w:rsidR="00C85DC3" w:rsidRDefault="00020EE6" w:rsidP="00C85DC3">
      <w:pPr>
        <w:pStyle w:val="Default"/>
        <w:numPr>
          <w:ilvl w:val="0"/>
          <w:numId w:val="7"/>
        </w:numPr>
        <w:rPr>
          <w:rFonts w:asciiTheme="minorHAnsi" w:hAnsiTheme="minorHAnsi" w:cstheme="minorHAnsi"/>
          <w:sz w:val="22"/>
          <w:szCs w:val="22"/>
        </w:rPr>
      </w:pPr>
      <w:proofErr w:type="gramStart"/>
      <w:r w:rsidRPr="00E81438">
        <w:rPr>
          <w:rFonts w:asciiTheme="minorHAnsi" w:hAnsiTheme="minorHAnsi" w:cstheme="minorHAnsi"/>
          <w:sz w:val="22"/>
          <w:szCs w:val="22"/>
        </w:rPr>
        <w:t>creates</w:t>
      </w:r>
      <w:proofErr w:type="gramEnd"/>
      <w:r w:rsidRPr="00E81438">
        <w:rPr>
          <w:rFonts w:asciiTheme="minorHAnsi" w:hAnsiTheme="minorHAnsi" w:cstheme="minorHAnsi"/>
          <w:sz w:val="22"/>
          <w:szCs w:val="22"/>
        </w:rPr>
        <w:t xml:space="preserve"> both a right and a process for individuals to make a request to their health insurance or managed care plan for “confidential communications.” </w:t>
      </w:r>
      <w:sdt>
        <w:sdtPr>
          <w:rPr>
            <w:rFonts w:asciiTheme="minorHAnsi" w:hAnsiTheme="minorHAnsi" w:cstheme="minorHAnsi"/>
            <w:sz w:val="22"/>
            <w:szCs w:val="22"/>
          </w:rPr>
          <w:id w:val="-1724361325"/>
          <w:citation/>
        </w:sdtPr>
        <w:sdtContent>
          <w:r w:rsidR="00C85DC3">
            <w:rPr>
              <w:rFonts w:asciiTheme="minorHAnsi" w:hAnsiTheme="minorHAnsi" w:cstheme="minorHAnsi"/>
              <w:sz w:val="22"/>
              <w:szCs w:val="22"/>
            </w:rPr>
            <w:fldChar w:fldCharType="begin"/>
          </w:r>
          <w:r w:rsidR="00C85DC3">
            <w:rPr>
              <w:rFonts w:asciiTheme="minorHAnsi" w:hAnsiTheme="minorHAnsi" w:cstheme="minorHAnsi"/>
              <w:sz w:val="22"/>
              <w:szCs w:val="22"/>
            </w:rPr>
            <w:instrText xml:space="preserve"> CITATION AST18 \l 1033 </w:instrText>
          </w:r>
          <w:r w:rsidR="00C85DC3">
            <w:rPr>
              <w:rFonts w:asciiTheme="minorHAnsi" w:hAnsiTheme="minorHAnsi" w:cstheme="minorHAnsi"/>
              <w:sz w:val="22"/>
              <w:szCs w:val="22"/>
            </w:rPr>
            <w:fldChar w:fldCharType="separate"/>
          </w:r>
          <w:r w:rsidR="00C85DC3" w:rsidRPr="00C85DC3">
            <w:rPr>
              <w:rFonts w:asciiTheme="minorHAnsi" w:hAnsiTheme="minorHAnsi" w:cstheme="minorHAnsi"/>
              <w:noProof/>
              <w:sz w:val="22"/>
              <w:szCs w:val="22"/>
            </w:rPr>
            <w:t>(ASTHO, 2018)</w:t>
          </w:r>
          <w:r w:rsidR="00C85DC3">
            <w:rPr>
              <w:rFonts w:asciiTheme="minorHAnsi" w:hAnsiTheme="minorHAnsi" w:cstheme="minorHAnsi"/>
              <w:sz w:val="22"/>
              <w:szCs w:val="22"/>
            </w:rPr>
            <w:fldChar w:fldCharType="end"/>
          </w:r>
        </w:sdtContent>
      </w:sdt>
      <w:r w:rsidR="00C85DC3">
        <w:rPr>
          <w:rFonts w:asciiTheme="minorHAnsi" w:hAnsiTheme="minorHAnsi" w:cstheme="minorHAnsi"/>
          <w:sz w:val="22"/>
          <w:szCs w:val="22"/>
        </w:rPr>
        <w:t xml:space="preserve"> </w:t>
      </w:r>
      <w:sdt>
        <w:sdtPr>
          <w:rPr>
            <w:rFonts w:asciiTheme="minorHAnsi" w:hAnsiTheme="minorHAnsi" w:cstheme="minorHAnsi"/>
            <w:sz w:val="22"/>
            <w:szCs w:val="22"/>
          </w:rPr>
          <w:id w:val="-1262444819"/>
          <w:citation/>
        </w:sdtPr>
        <w:sdtContent>
          <w:r w:rsidR="00C85DC3">
            <w:rPr>
              <w:rFonts w:asciiTheme="minorHAnsi" w:hAnsiTheme="minorHAnsi" w:cstheme="minorHAnsi"/>
              <w:sz w:val="22"/>
              <w:szCs w:val="22"/>
            </w:rPr>
            <w:fldChar w:fldCharType="begin"/>
          </w:r>
          <w:r w:rsidR="00C85DC3">
            <w:rPr>
              <w:rFonts w:asciiTheme="minorHAnsi" w:hAnsiTheme="minorHAnsi" w:cstheme="minorHAnsi"/>
              <w:sz w:val="22"/>
              <w:szCs w:val="22"/>
            </w:rPr>
            <w:instrText xml:space="preserve"> CITATION Sch14 \l 1033 </w:instrText>
          </w:r>
          <w:r w:rsidR="00C85DC3">
            <w:rPr>
              <w:rFonts w:asciiTheme="minorHAnsi" w:hAnsiTheme="minorHAnsi" w:cstheme="minorHAnsi"/>
              <w:sz w:val="22"/>
              <w:szCs w:val="22"/>
            </w:rPr>
            <w:fldChar w:fldCharType="separate"/>
          </w:r>
          <w:r w:rsidR="00C85DC3" w:rsidRPr="00C85DC3">
            <w:rPr>
              <w:rFonts w:asciiTheme="minorHAnsi" w:hAnsiTheme="minorHAnsi" w:cstheme="minorHAnsi"/>
              <w:noProof/>
              <w:sz w:val="22"/>
              <w:szCs w:val="22"/>
            </w:rPr>
            <w:t>(Schuyler Center for Analysis and Advocacy, 2014)</w:t>
          </w:r>
          <w:r w:rsidR="00C85DC3">
            <w:rPr>
              <w:rFonts w:asciiTheme="minorHAnsi" w:hAnsiTheme="minorHAnsi" w:cstheme="minorHAnsi"/>
              <w:sz w:val="22"/>
              <w:szCs w:val="22"/>
            </w:rPr>
            <w:fldChar w:fldCharType="end"/>
          </w:r>
        </w:sdtContent>
      </w:sdt>
    </w:p>
    <w:p w:rsidR="00E81438" w:rsidRDefault="00020EE6" w:rsidP="00842F89">
      <w:pPr>
        <w:pStyle w:val="Default"/>
        <w:numPr>
          <w:ilvl w:val="1"/>
          <w:numId w:val="7"/>
        </w:numPr>
        <w:rPr>
          <w:rFonts w:asciiTheme="minorHAnsi" w:hAnsiTheme="minorHAnsi" w:cstheme="minorHAnsi"/>
          <w:sz w:val="22"/>
          <w:szCs w:val="22"/>
        </w:rPr>
      </w:pPr>
      <w:r w:rsidRPr="00C85DC3">
        <w:rPr>
          <w:rFonts w:asciiTheme="minorHAnsi" w:hAnsiTheme="minorHAnsi" w:cstheme="minorHAnsi"/>
          <w:sz w:val="22"/>
          <w:szCs w:val="22"/>
        </w:rPr>
        <w:t xml:space="preserve"> </w:t>
      </w:r>
      <w:proofErr w:type="gramStart"/>
      <w:r w:rsidRPr="00C85DC3">
        <w:rPr>
          <w:rFonts w:asciiTheme="minorHAnsi" w:hAnsiTheme="minorHAnsi" w:cstheme="minorHAnsi"/>
          <w:sz w:val="22"/>
          <w:szCs w:val="22"/>
        </w:rPr>
        <w:t>means</w:t>
      </w:r>
      <w:proofErr w:type="gramEnd"/>
      <w:r w:rsidRPr="00C85DC3">
        <w:rPr>
          <w:rFonts w:asciiTheme="minorHAnsi" w:hAnsiTheme="minorHAnsi" w:cstheme="minorHAnsi"/>
          <w:sz w:val="22"/>
          <w:szCs w:val="22"/>
        </w:rPr>
        <w:t xml:space="preserve"> healthcare information related to sensitive services can be sent to a subscriber or enrollee at an address, e-mail, or phone number requested by the subscriber or enrollee. Healthcare information can also sent be confidentially if the subscriber or enrollee believes that disclosure could result in endangerment. </w:t>
      </w:r>
      <w:sdt>
        <w:sdtPr>
          <w:rPr>
            <w:rFonts w:asciiTheme="minorHAnsi" w:hAnsiTheme="minorHAnsi" w:cstheme="minorHAnsi"/>
            <w:sz w:val="22"/>
            <w:szCs w:val="22"/>
          </w:rPr>
          <w:id w:val="-137573001"/>
          <w:citation/>
        </w:sdtPr>
        <w:sdtContent>
          <w:r w:rsidR="00E81438" w:rsidRPr="00C85DC3">
            <w:rPr>
              <w:rFonts w:asciiTheme="minorHAnsi" w:hAnsiTheme="minorHAnsi" w:cstheme="minorHAnsi"/>
              <w:sz w:val="22"/>
              <w:szCs w:val="22"/>
            </w:rPr>
            <w:fldChar w:fldCharType="begin"/>
          </w:r>
          <w:r w:rsidR="00E81438" w:rsidRPr="00C85DC3">
            <w:rPr>
              <w:rFonts w:asciiTheme="minorHAnsi" w:hAnsiTheme="minorHAnsi" w:cstheme="minorHAnsi"/>
              <w:sz w:val="22"/>
              <w:szCs w:val="22"/>
            </w:rPr>
            <w:instrText xml:space="preserve"> CITATION AST18 \l 1033 </w:instrText>
          </w:r>
          <w:r w:rsidR="00E81438" w:rsidRPr="00C85DC3">
            <w:rPr>
              <w:rFonts w:asciiTheme="minorHAnsi" w:hAnsiTheme="minorHAnsi" w:cstheme="minorHAnsi"/>
              <w:sz w:val="22"/>
              <w:szCs w:val="22"/>
            </w:rPr>
            <w:fldChar w:fldCharType="separate"/>
          </w:r>
          <w:r w:rsidR="00E81438" w:rsidRPr="00C85DC3">
            <w:rPr>
              <w:rFonts w:asciiTheme="minorHAnsi" w:hAnsiTheme="minorHAnsi" w:cstheme="minorHAnsi"/>
              <w:sz w:val="22"/>
              <w:szCs w:val="22"/>
            </w:rPr>
            <w:t>(ASTHO, 2018)</w:t>
          </w:r>
          <w:r w:rsidR="00E81438" w:rsidRPr="00C85DC3">
            <w:rPr>
              <w:rFonts w:asciiTheme="minorHAnsi" w:hAnsiTheme="minorHAnsi" w:cstheme="minorHAnsi"/>
              <w:sz w:val="22"/>
              <w:szCs w:val="22"/>
            </w:rPr>
            <w:fldChar w:fldCharType="end"/>
          </w:r>
        </w:sdtContent>
      </w:sdt>
    </w:p>
    <w:p w:rsidR="00C85DC3" w:rsidRPr="00C85DC3" w:rsidRDefault="00C85DC3" w:rsidP="00C85DC3">
      <w:pPr>
        <w:pStyle w:val="ListParagraph"/>
        <w:numPr>
          <w:ilvl w:val="1"/>
          <w:numId w:val="7"/>
        </w:numPr>
        <w:rPr>
          <w:rFonts w:cstheme="minorHAnsi"/>
        </w:rPr>
      </w:pPr>
      <w:proofErr w:type="gramStart"/>
      <w:r w:rsidRPr="00C85DC3">
        <w:rPr>
          <w:rFonts w:cstheme="minorHAnsi"/>
          <w:shd w:val="clear" w:color="auto" w:fill="FFFFFF"/>
        </w:rPr>
        <w:t>requires</w:t>
      </w:r>
      <w:proofErr w:type="gramEnd"/>
      <w:r w:rsidRPr="00C85DC3">
        <w:rPr>
          <w:rFonts w:cstheme="minorHAnsi"/>
          <w:shd w:val="clear" w:color="auto" w:fill="FFFFFF"/>
        </w:rPr>
        <w:t xml:space="preserve"> plans to honor those requests from individuals obtaining sensitive services such as contraception, abortion, pregnancy-related care, STI services and mental health services or when the request states that disclosure could lead to harm. The law prohibits plans from conditioning acceptance on an explanation for the reasons behind the request</w:t>
      </w:r>
      <w:r w:rsidRPr="00C85DC3">
        <w:rPr>
          <w:rFonts w:cstheme="minorHAnsi"/>
          <w:color w:val="555555"/>
          <w:shd w:val="clear" w:color="auto" w:fill="FFFFFF"/>
        </w:rPr>
        <w:t xml:space="preserve">. </w:t>
      </w:r>
      <w:sdt>
        <w:sdtPr>
          <w:id w:val="-935438259"/>
          <w:citation/>
        </w:sdtPr>
        <w:sdtContent>
          <w:r w:rsidRPr="00C85DC3">
            <w:rPr>
              <w:rFonts w:cstheme="minorHAnsi"/>
            </w:rPr>
            <w:fldChar w:fldCharType="begin"/>
          </w:r>
          <w:r w:rsidRPr="00C85DC3">
            <w:rPr>
              <w:rFonts w:cstheme="minorHAnsi"/>
            </w:rPr>
            <w:instrText xml:space="preserve"> CITATION Rac13 \l 1033 </w:instrText>
          </w:r>
          <w:r w:rsidRPr="00C85DC3">
            <w:rPr>
              <w:rFonts w:cstheme="minorHAnsi"/>
            </w:rPr>
            <w:fldChar w:fldCharType="separate"/>
          </w:r>
          <w:r w:rsidRPr="00C85DC3">
            <w:rPr>
              <w:rFonts w:cstheme="minorHAnsi"/>
              <w:noProof/>
            </w:rPr>
            <w:t>(Gold, 2013)</w:t>
          </w:r>
          <w:r w:rsidRPr="00C85DC3">
            <w:rPr>
              <w:rFonts w:cstheme="minorHAnsi"/>
            </w:rPr>
            <w:fldChar w:fldCharType="end"/>
          </w:r>
        </w:sdtContent>
      </w:sdt>
      <w:r w:rsidRPr="00C85DC3">
        <w:rPr>
          <w:rFonts w:cstheme="minorHAnsi"/>
        </w:rPr>
        <w:t xml:space="preserve">, </w:t>
      </w:r>
      <w:sdt>
        <w:sdtPr>
          <w:id w:val="-1768227951"/>
          <w:citation/>
        </w:sdtPr>
        <w:sdtContent>
          <w:r w:rsidRPr="00C85DC3">
            <w:rPr>
              <w:rFonts w:cstheme="minorHAnsi"/>
            </w:rPr>
            <w:fldChar w:fldCharType="begin"/>
          </w:r>
          <w:r w:rsidRPr="00C85DC3">
            <w:rPr>
              <w:rFonts w:cstheme="minorHAnsi"/>
            </w:rPr>
            <w:instrText xml:space="preserve"> CITATION Abily \l 1033 </w:instrText>
          </w:r>
          <w:r w:rsidRPr="00C85DC3">
            <w:rPr>
              <w:rFonts w:cstheme="minorHAnsi"/>
            </w:rPr>
            <w:fldChar w:fldCharType="separate"/>
          </w:r>
          <w:r w:rsidRPr="00C85DC3">
            <w:rPr>
              <w:rFonts w:cstheme="minorHAnsi"/>
              <w:noProof/>
            </w:rPr>
            <w:t>(Abigail English, July)</w:t>
          </w:r>
          <w:r w:rsidRPr="00C85DC3">
            <w:rPr>
              <w:rFonts w:cstheme="minorHAnsi"/>
            </w:rPr>
            <w:fldChar w:fldCharType="end"/>
          </w:r>
        </w:sdtContent>
      </w:sdt>
    </w:p>
    <w:p w:rsidR="00C85DC3" w:rsidRDefault="00C85DC3" w:rsidP="00020EE6">
      <w:pPr>
        <w:pStyle w:val="Default"/>
        <w:rPr>
          <w:rFonts w:asciiTheme="minorHAnsi" w:hAnsiTheme="minorHAnsi" w:cstheme="minorHAnsi"/>
          <w:sz w:val="22"/>
          <w:szCs w:val="22"/>
        </w:rPr>
      </w:pPr>
    </w:p>
    <w:p w:rsidR="00C85DC3" w:rsidRDefault="00C85DC3" w:rsidP="00020EE6">
      <w:pPr>
        <w:pStyle w:val="Default"/>
        <w:rPr>
          <w:rFonts w:asciiTheme="minorHAnsi" w:hAnsiTheme="minorHAnsi" w:cstheme="minorHAnsi"/>
          <w:sz w:val="22"/>
          <w:szCs w:val="22"/>
        </w:rPr>
      </w:pPr>
    </w:p>
    <w:p w:rsidR="00C85DC3" w:rsidRDefault="00C85DC3" w:rsidP="00020EE6">
      <w:pPr>
        <w:pStyle w:val="Default"/>
        <w:rPr>
          <w:rFonts w:asciiTheme="minorHAnsi" w:hAnsiTheme="minorHAnsi" w:cstheme="minorHAnsi"/>
          <w:sz w:val="22"/>
          <w:szCs w:val="22"/>
        </w:rPr>
      </w:pPr>
    </w:p>
    <w:p w:rsidR="00C85DC3" w:rsidRDefault="00C85DC3" w:rsidP="00020EE6">
      <w:pPr>
        <w:pStyle w:val="Default"/>
        <w:rPr>
          <w:rFonts w:asciiTheme="minorHAnsi" w:hAnsiTheme="minorHAnsi" w:cstheme="minorHAnsi"/>
          <w:sz w:val="22"/>
          <w:szCs w:val="22"/>
        </w:rPr>
      </w:pPr>
    </w:p>
    <w:p w:rsidR="00020EE6" w:rsidRPr="00E81438" w:rsidRDefault="00020EE6" w:rsidP="00020EE6">
      <w:pPr>
        <w:pStyle w:val="Default"/>
        <w:rPr>
          <w:rFonts w:asciiTheme="minorHAnsi" w:hAnsiTheme="minorHAnsi" w:cstheme="minorHAnsi"/>
          <w:sz w:val="22"/>
          <w:szCs w:val="22"/>
        </w:rPr>
      </w:pPr>
      <w:r w:rsidRPr="00E81438">
        <w:rPr>
          <w:rFonts w:asciiTheme="minorHAnsi" w:hAnsiTheme="minorHAnsi" w:cstheme="minorHAnsi"/>
          <w:sz w:val="22"/>
          <w:szCs w:val="22"/>
        </w:rPr>
        <w:lastRenderedPageBreak/>
        <w:t xml:space="preserve">Maryland and Oregon passed laws similar to </w:t>
      </w:r>
      <w:proofErr w:type="gramStart"/>
      <w:r w:rsidRPr="00E81438">
        <w:rPr>
          <w:rFonts w:asciiTheme="minorHAnsi" w:hAnsiTheme="minorHAnsi" w:cstheme="minorHAnsi"/>
          <w:sz w:val="22"/>
          <w:szCs w:val="22"/>
        </w:rPr>
        <w:t>California’s</w:t>
      </w:r>
      <w:proofErr w:type="gramEnd"/>
      <w:r w:rsidRPr="00E81438">
        <w:rPr>
          <w:rFonts w:asciiTheme="minorHAnsi" w:hAnsiTheme="minorHAnsi" w:cstheme="minorHAnsi"/>
          <w:sz w:val="22"/>
          <w:szCs w:val="22"/>
        </w:rPr>
        <w:t xml:space="preserve">. </w:t>
      </w:r>
      <w:sdt>
        <w:sdtPr>
          <w:rPr>
            <w:rFonts w:asciiTheme="minorHAnsi" w:hAnsiTheme="minorHAnsi" w:cstheme="minorHAnsi"/>
            <w:sz w:val="22"/>
            <w:szCs w:val="22"/>
          </w:rPr>
          <w:id w:val="-1231683401"/>
          <w:citation/>
        </w:sdtPr>
        <w:sdtContent>
          <w:r w:rsidR="00E81438" w:rsidRPr="00E81438">
            <w:rPr>
              <w:rFonts w:asciiTheme="minorHAnsi" w:hAnsiTheme="minorHAnsi" w:cstheme="minorHAnsi"/>
              <w:sz w:val="22"/>
              <w:szCs w:val="22"/>
            </w:rPr>
            <w:fldChar w:fldCharType="begin"/>
          </w:r>
          <w:r w:rsidR="00E81438" w:rsidRPr="00E81438">
            <w:rPr>
              <w:rFonts w:asciiTheme="minorHAnsi" w:hAnsiTheme="minorHAnsi" w:cstheme="minorHAnsi"/>
              <w:sz w:val="22"/>
              <w:szCs w:val="22"/>
            </w:rPr>
            <w:instrText xml:space="preserve"> CITATION AST18 \l 1033 </w:instrText>
          </w:r>
          <w:r w:rsidR="00E81438" w:rsidRPr="00E81438">
            <w:rPr>
              <w:rFonts w:asciiTheme="minorHAnsi" w:hAnsiTheme="minorHAnsi" w:cstheme="minorHAnsi"/>
              <w:sz w:val="22"/>
              <w:szCs w:val="22"/>
            </w:rPr>
            <w:fldChar w:fldCharType="separate"/>
          </w:r>
          <w:r w:rsidR="00E81438" w:rsidRPr="00E81438">
            <w:rPr>
              <w:rFonts w:asciiTheme="minorHAnsi" w:hAnsiTheme="minorHAnsi" w:cstheme="minorHAnsi"/>
              <w:noProof/>
              <w:sz w:val="22"/>
              <w:szCs w:val="22"/>
            </w:rPr>
            <w:t>(ASTHO, 2018)</w:t>
          </w:r>
          <w:r w:rsidR="00E81438" w:rsidRPr="00E81438">
            <w:rPr>
              <w:rFonts w:asciiTheme="minorHAnsi" w:hAnsiTheme="minorHAnsi" w:cstheme="minorHAnsi"/>
              <w:sz w:val="22"/>
              <w:szCs w:val="22"/>
            </w:rPr>
            <w:fldChar w:fldCharType="end"/>
          </w:r>
        </w:sdtContent>
      </w:sdt>
    </w:p>
    <w:p w:rsidR="00746098" w:rsidRDefault="00746098" w:rsidP="00020EE6">
      <w:pPr>
        <w:pStyle w:val="Default"/>
        <w:rPr>
          <w:rFonts w:asciiTheme="minorHAnsi" w:hAnsiTheme="minorHAnsi" w:cstheme="minorHAnsi"/>
          <w:sz w:val="22"/>
          <w:szCs w:val="22"/>
        </w:rPr>
      </w:pPr>
    </w:p>
    <w:p w:rsidR="00E81438" w:rsidRDefault="00020EE6" w:rsidP="00020EE6">
      <w:pPr>
        <w:pStyle w:val="Default"/>
        <w:rPr>
          <w:rFonts w:asciiTheme="minorHAnsi" w:hAnsiTheme="minorHAnsi" w:cstheme="minorHAnsi"/>
          <w:sz w:val="22"/>
          <w:szCs w:val="22"/>
        </w:rPr>
      </w:pPr>
      <w:r w:rsidRPr="00E81438">
        <w:rPr>
          <w:rFonts w:asciiTheme="minorHAnsi" w:hAnsiTheme="minorHAnsi" w:cstheme="minorHAnsi"/>
          <w:sz w:val="22"/>
          <w:szCs w:val="22"/>
        </w:rPr>
        <w:t xml:space="preserve">Washington state and Colorado have used insurance regulations rather than legislation to protect confidentiality. </w:t>
      </w:r>
      <w:sdt>
        <w:sdtPr>
          <w:rPr>
            <w:rFonts w:asciiTheme="minorHAnsi" w:hAnsiTheme="minorHAnsi" w:cstheme="minorHAnsi"/>
            <w:sz w:val="22"/>
            <w:szCs w:val="22"/>
          </w:rPr>
          <w:id w:val="-926965016"/>
          <w:citation/>
        </w:sdtPr>
        <w:sdtContent>
          <w:r w:rsidR="00746098">
            <w:rPr>
              <w:rFonts w:asciiTheme="minorHAnsi" w:hAnsiTheme="minorHAnsi" w:cstheme="minorHAnsi"/>
              <w:sz w:val="22"/>
              <w:szCs w:val="22"/>
            </w:rPr>
            <w:fldChar w:fldCharType="begin"/>
          </w:r>
          <w:r w:rsidR="00746098">
            <w:rPr>
              <w:rFonts w:asciiTheme="minorHAnsi" w:hAnsiTheme="minorHAnsi" w:cstheme="minorHAnsi"/>
              <w:sz w:val="22"/>
              <w:szCs w:val="22"/>
            </w:rPr>
            <w:instrText xml:space="preserve"> CITATION AST18 \l 1033 </w:instrText>
          </w:r>
          <w:r w:rsidR="00746098">
            <w:rPr>
              <w:rFonts w:asciiTheme="minorHAnsi" w:hAnsiTheme="minorHAnsi" w:cstheme="minorHAnsi"/>
              <w:sz w:val="22"/>
              <w:szCs w:val="22"/>
            </w:rPr>
            <w:fldChar w:fldCharType="separate"/>
          </w:r>
          <w:r w:rsidR="00746098" w:rsidRPr="00746098">
            <w:rPr>
              <w:rFonts w:asciiTheme="minorHAnsi" w:hAnsiTheme="minorHAnsi" w:cstheme="minorHAnsi"/>
              <w:noProof/>
              <w:sz w:val="22"/>
              <w:szCs w:val="22"/>
            </w:rPr>
            <w:t>(ASTHO, 2018)</w:t>
          </w:r>
          <w:r w:rsidR="00746098">
            <w:rPr>
              <w:rFonts w:asciiTheme="minorHAnsi" w:hAnsiTheme="minorHAnsi" w:cstheme="minorHAnsi"/>
              <w:sz w:val="22"/>
              <w:szCs w:val="22"/>
            </w:rPr>
            <w:fldChar w:fldCharType="end"/>
          </w:r>
        </w:sdtContent>
      </w:sdt>
    </w:p>
    <w:p w:rsidR="00E81438" w:rsidRDefault="00E81438" w:rsidP="00020EE6">
      <w:pPr>
        <w:pStyle w:val="Default"/>
        <w:rPr>
          <w:rFonts w:asciiTheme="minorHAnsi" w:hAnsiTheme="minorHAnsi" w:cstheme="minorHAnsi"/>
          <w:sz w:val="22"/>
          <w:szCs w:val="22"/>
        </w:rPr>
      </w:pPr>
    </w:p>
    <w:p w:rsidR="00E81438" w:rsidRDefault="00F32610" w:rsidP="00020EE6">
      <w:pPr>
        <w:pStyle w:val="Default"/>
        <w:rPr>
          <w:rFonts w:asciiTheme="minorHAnsi" w:hAnsiTheme="minorHAnsi" w:cstheme="minorHAnsi"/>
          <w:sz w:val="22"/>
          <w:szCs w:val="22"/>
        </w:rPr>
      </w:pPr>
      <w:r>
        <w:rPr>
          <w:rFonts w:asciiTheme="minorHAnsi" w:hAnsiTheme="minorHAnsi" w:cstheme="minorHAnsi"/>
          <w:sz w:val="22"/>
          <w:szCs w:val="22"/>
        </w:rPr>
        <w:t>Washington</w:t>
      </w:r>
    </w:p>
    <w:p w:rsidR="00F32610" w:rsidRDefault="00020EE6" w:rsidP="00F32610">
      <w:pPr>
        <w:pStyle w:val="Default"/>
        <w:numPr>
          <w:ilvl w:val="0"/>
          <w:numId w:val="8"/>
        </w:numPr>
        <w:rPr>
          <w:rFonts w:asciiTheme="minorHAnsi" w:hAnsiTheme="minorHAnsi" w:cstheme="minorHAnsi"/>
          <w:sz w:val="22"/>
          <w:szCs w:val="22"/>
        </w:rPr>
      </w:pPr>
      <w:proofErr w:type="gramStart"/>
      <w:r w:rsidRPr="00E81438">
        <w:rPr>
          <w:rFonts w:asciiTheme="minorHAnsi" w:hAnsiTheme="minorHAnsi" w:cstheme="minorHAnsi"/>
          <w:sz w:val="22"/>
          <w:szCs w:val="22"/>
        </w:rPr>
        <w:t>regulatory</w:t>
      </w:r>
      <w:proofErr w:type="gramEnd"/>
      <w:r w:rsidRPr="00E81438">
        <w:rPr>
          <w:rFonts w:asciiTheme="minorHAnsi" w:hAnsiTheme="minorHAnsi" w:cstheme="minorHAnsi"/>
          <w:sz w:val="22"/>
          <w:szCs w:val="22"/>
        </w:rPr>
        <w:t xml:space="preserve"> model represents the broader approach and is based on the Health Information Privacy Model Act issued by the National Association of Insurance Commissioners. </w:t>
      </w:r>
      <w:sdt>
        <w:sdtPr>
          <w:rPr>
            <w:rFonts w:asciiTheme="minorHAnsi" w:hAnsiTheme="minorHAnsi" w:cstheme="minorHAnsi"/>
            <w:sz w:val="22"/>
            <w:szCs w:val="22"/>
          </w:rPr>
          <w:id w:val="-1543439453"/>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AST18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(ASTHO, 2018)</w:t>
          </w:r>
          <w:r w:rsidR="006E571A">
            <w:rPr>
              <w:rFonts w:asciiTheme="minorHAnsi" w:hAnsiTheme="minorHAnsi" w:cstheme="minorHAnsi"/>
              <w:sz w:val="22"/>
              <w:szCs w:val="22"/>
            </w:rPr>
            <w:fldChar w:fldCharType="end"/>
          </w:r>
        </w:sdtContent>
      </w:sdt>
    </w:p>
    <w:p w:rsidR="00F32610" w:rsidRDefault="00020EE6" w:rsidP="00F32610">
      <w:pPr>
        <w:pStyle w:val="Default"/>
        <w:numPr>
          <w:ilvl w:val="0"/>
          <w:numId w:val="8"/>
        </w:numPr>
        <w:rPr>
          <w:rFonts w:asciiTheme="minorHAnsi" w:hAnsiTheme="minorHAnsi" w:cstheme="minorHAnsi"/>
          <w:sz w:val="22"/>
          <w:szCs w:val="22"/>
        </w:rPr>
      </w:pPr>
      <w:proofErr w:type="gramStart"/>
      <w:r w:rsidRPr="00E81438">
        <w:rPr>
          <w:rFonts w:asciiTheme="minorHAnsi" w:hAnsiTheme="minorHAnsi" w:cstheme="minorHAnsi"/>
          <w:sz w:val="22"/>
          <w:szCs w:val="22"/>
        </w:rPr>
        <w:t>only</w:t>
      </w:r>
      <w:proofErr w:type="gramEnd"/>
      <w:r w:rsidRPr="00E81438">
        <w:rPr>
          <w:rFonts w:asciiTheme="minorHAnsi" w:hAnsiTheme="minorHAnsi" w:cstheme="minorHAnsi"/>
          <w:sz w:val="22"/>
          <w:szCs w:val="22"/>
        </w:rPr>
        <w:t xml:space="preserve"> state to adopt the model. </w:t>
      </w:r>
      <w:sdt>
        <w:sdtPr>
          <w:rPr>
            <w:rFonts w:asciiTheme="minorHAnsi" w:hAnsiTheme="minorHAnsi" w:cstheme="minorHAnsi"/>
            <w:sz w:val="22"/>
            <w:szCs w:val="22"/>
          </w:rPr>
          <w:id w:val="-1146349986"/>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AST18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(ASTHO, 2018)</w:t>
          </w:r>
          <w:r w:rsidR="006E571A">
            <w:rPr>
              <w:rFonts w:asciiTheme="minorHAnsi" w:hAnsiTheme="minorHAnsi" w:cstheme="minorHAnsi"/>
              <w:sz w:val="22"/>
              <w:szCs w:val="22"/>
            </w:rPr>
            <w:fldChar w:fldCharType="end"/>
          </w:r>
        </w:sdtContent>
      </w:sdt>
    </w:p>
    <w:p w:rsidR="006E571A" w:rsidRDefault="00020EE6" w:rsidP="00F32610">
      <w:pPr>
        <w:pStyle w:val="Default"/>
        <w:numPr>
          <w:ilvl w:val="0"/>
          <w:numId w:val="8"/>
        </w:numPr>
        <w:rPr>
          <w:rFonts w:asciiTheme="minorHAnsi" w:hAnsiTheme="minorHAnsi" w:cstheme="minorHAnsi"/>
          <w:sz w:val="22"/>
          <w:szCs w:val="22"/>
        </w:rPr>
      </w:pPr>
      <w:proofErr w:type="gramStart"/>
      <w:r w:rsidRPr="00E81438">
        <w:rPr>
          <w:rFonts w:asciiTheme="minorHAnsi" w:hAnsiTheme="minorHAnsi" w:cstheme="minorHAnsi"/>
          <w:sz w:val="22"/>
          <w:szCs w:val="22"/>
        </w:rPr>
        <w:t>adopted</w:t>
      </w:r>
      <w:proofErr w:type="gramEnd"/>
      <w:r w:rsidRPr="00E81438">
        <w:rPr>
          <w:rFonts w:asciiTheme="minorHAnsi" w:hAnsiTheme="minorHAnsi" w:cstheme="minorHAnsi"/>
          <w:sz w:val="22"/>
          <w:szCs w:val="22"/>
        </w:rPr>
        <w:t xml:space="preserve"> in 2001</w:t>
      </w:r>
      <w:r w:rsidR="00F32610">
        <w:rPr>
          <w:rFonts w:asciiTheme="minorHAnsi" w:hAnsiTheme="minorHAnsi" w:cstheme="minorHAnsi"/>
          <w:sz w:val="22"/>
          <w:szCs w:val="22"/>
        </w:rPr>
        <w:t xml:space="preserve"> - </w:t>
      </w:r>
      <w:r w:rsidRPr="00E81438">
        <w:rPr>
          <w:rFonts w:asciiTheme="minorHAnsi" w:hAnsiTheme="minorHAnsi" w:cstheme="minorHAnsi"/>
          <w:sz w:val="22"/>
          <w:szCs w:val="22"/>
        </w:rPr>
        <w:t xml:space="preserve">explicitly require insurers to obtain authorization for disclosure from minors for any healthcare service for which they have consented. </w:t>
      </w:r>
      <w:sdt>
        <w:sdtPr>
          <w:rPr>
            <w:rFonts w:asciiTheme="minorHAnsi" w:hAnsiTheme="minorHAnsi" w:cstheme="minorHAnsi"/>
            <w:sz w:val="22"/>
            <w:szCs w:val="22"/>
          </w:rPr>
          <w:id w:val="-1230388265"/>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AST18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(ASTHO, 2018)</w:t>
          </w:r>
          <w:r w:rsidR="006E571A">
            <w:rPr>
              <w:rFonts w:asciiTheme="minorHAnsi" w:hAnsiTheme="minorHAnsi" w:cstheme="minorHAnsi"/>
              <w:sz w:val="22"/>
              <w:szCs w:val="22"/>
            </w:rPr>
            <w:fldChar w:fldCharType="end"/>
          </w:r>
        </w:sdtContent>
      </w:sdt>
      <w:sdt>
        <w:sdtPr>
          <w:rPr>
            <w:rFonts w:asciiTheme="minorHAnsi" w:hAnsiTheme="minorHAnsi" w:cstheme="minorHAnsi"/>
            <w:sz w:val="22"/>
            <w:szCs w:val="22"/>
          </w:rPr>
          <w:id w:val="28689697"/>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Rac13 \l 1033 </w:instrText>
          </w:r>
          <w:r w:rsidR="006E571A">
            <w:rPr>
              <w:rFonts w:asciiTheme="minorHAnsi" w:hAnsiTheme="minorHAnsi" w:cstheme="minorHAnsi"/>
              <w:sz w:val="22"/>
              <w:szCs w:val="22"/>
            </w:rPr>
            <w:fldChar w:fldCharType="separate"/>
          </w:r>
          <w:r w:rsidR="006E571A">
            <w:rPr>
              <w:rFonts w:asciiTheme="minorHAnsi" w:hAnsiTheme="minorHAnsi" w:cstheme="minorHAnsi"/>
              <w:noProof/>
              <w:sz w:val="22"/>
              <w:szCs w:val="22"/>
            </w:rPr>
            <w:t xml:space="preserve"> </w:t>
          </w:r>
          <w:r w:rsidR="006E571A" w:rsidRPr="006E571A">
            <w:rPr>
              <w:rFonts w:asciiTheme="minorHAnsi" w:hAnsiTheme="minorHAnsi" w:cstheme="minorHAnsi"/>
              <w:noProof/>
              <w:sz w:val="22"/>
              <w:szCs w:val="22"/>
            </w:rPr>
            <w:t>(Gold, 2013)</w:t>
          </w:r>
          <w:r w:rsidR="006E571A">
            <w:rPr>
              <w:rFonts w:asciiTheme="minorHAnsi" w:hAnsiTheme="minorHAnsi" w:cstheme="minorHAnsi"/>
              <w:sz w:val="22"/>
              <w:szCs w:val="22"/>
            </w:rPr>
            <w:fldChar w:fldCharType="end"/>
          </w:r>
        </w:sdtContent>
      </w:sdt>
    </w:p>
    <w:p w:rsidR="006E571A" w:rsidRDefault="006E571A" w:rsidP="006E571A">
      <w:pPr>
        <w:pStyle w:val="Default"/>
        <w:numPr>
          <w:ilvl w:val="1"/>
          <w:numId w:val="8"/>
        </w:numPr>
        <w:rPr>
          <w:rFonts w:asciiTheme="minorHAnsi" w:hAnsiTheme="minorHAnsi" w:cstheme="minorHAnsi"/>
          <w:sz w:val="22"/>
          <w:szCs w:val="22"/>
        </w:rPr>
      </w:pPr>
      <w:proofErr w:type="gramStart"/>
      <w:r w:rsidRPr="00E81438">
        <w:rPr>
          <w:rFonts w:asciiTheme="minorHAnsi" w:hAnsiTheme="minorHAnsi" w:cstheme="minorHAnsi"/>
          <w:sz w:val="22"/>
          <w:szCs w:val="22"/>
        </w:rPr>
        <w:t>any</w:t>
      </w:r>
      <w:proofErr w:type="gramEnd"/>
      <w:r w:rsidRPr="00E81438">
        <w:rPr>
          <w:rFonts w:asciiTheme="minorHAnsi" w:hAnsiTheme="minorHAnsi" w:cstheme="minorHAnsi"/>
          <w:sz w:val="22"/>
          <w:szCs w:val="22"/>
        </w:rPr>
        <w:t xml:space="preserve"> service a minor may consent to under state or federal law, the insurer may not disclose any nonpublic health information, including “mailing appointment notices, calling the home to confirm appointment, or mailing a bill or explanation of benefits to a policy holder or other covered person, without the express authorization of the minor.”</w:t>
      </w:r>
      <w:sdt>
        <w:sdtPr>
          <w:rPr>
            <w:rFonts w:asciiTheme="minorHAnsi" w:hAnsiTheme="minorHAnsi" w:cstheme="minorHAnsi"/>
            <w:sz w:val="22"/>
            <w:szCs w:val="22"/>
          </w:rPr>
          <w:id w:val="-486316504"/>
          <w:citation/>
        </w:sdtPr>
        <w:sdtContent>
          <w:r>
            <w:rPr>
              <w:rFonts w:asciiTheme="minorHAnsi" w:hAnsiTheme="minorHAnsi" w:cstheme="minorHAnsi"/>
              <w:sz w:val="22"/>
              <w:szCs w:val="22"/>
            </w:rPr>
            <w:fldChar w:fldCharType="begin"/>
          </w:r>
          <w:r>
            <w:rPr>
              <w:rFonts w:asciiTheme="minorHAnsi" w:hAnsiTheme="minorHAnsi" w:cstheme="minorHAnsi"/>
              <w:sz w:val="22"/>
              <w:szCs w:val="22"/>
            </w:rPr>
            <w:instrText xml:space="preserve"> CITATION Abily \l 1033 </w:instrText>
          </w:r>
          <w:r>
            <w:rPr>
              <w:rFonts w:asciiTheme="minorHAnsi" w:hAnsiTheme="minorHAnsi" w:cstheme="minorHAnsi"/>
              <w:sz w:val="22"/>
              <w:szCs w:val="22"/>
            </w:rPr>
            <w:fldChar w:fldCharType="separate"/>
          </w:r>
          <w:r>
            <w:rPr>
              <w:rFonts w:asciiTheme="minorHAnsi" w:hAnsiTheme="minorHAnsi" w:cstheme="minorHAnsi"/>
              <w:noProof/>
              <w:sz w:val="22"/>
              <w:szCs w:val="22"/>
            </w:rPr>
            <w:t xml:space="preserve"> </w:t>
          </w:r>
          <w:r w:rsidRPr="006E571A">
            <w:rPr>
              <w:rFonts w:asciiTheme="minorHAnsi" w:hAnsiTheme="minorHAnsi" w:cstheme="minorHAnsi"/>
              <w:noProof/>
              <w:sz w:val="22"/>
              <w:szCs w:val="22"/>
            </w:rPr>
            <w:t>(Abigail English, July)</w:t>
          </w:r>
          <w:r>
            <w:rPr>
              <w:rFonts w:asciiTheme="minorHAnsi" w:hAnsiTheme="minorHAnsi" w:cstheme="minorHAnsi"/>
              <w:sz w:val="22"/>
              <w:szCs w:val="22"/>
            </w:rPr>
            <w:fldChar w:fldCharType="end"/>
          </w:r>
        </w:sdtContent>
      </w:sdt>
    </w:p>
    <w:p w:rsidR="006E571A" w:rsidRDefault="00020EE6" w:rsidP="00F32610">
      <w:pPr>
        <w:pStyle w:val="Default"/>
        <w:numPr>
          <w:ilvl w:val="0"/>
          <w:numId w:val="8"/>
        </w:numPr>
        <w:rPr>
          <w:rFonts w:asciiTheme="minorHAnsi" w:hAnsiTheme="minorHAnsi" w:cstheme="minorHAnsi"/>
          <w:sz w:val="22"/>
          <w:szCs w:val="22"/>
        </w:rPr>
      </w:pPr>
      <w:r w:rsidRPr="00E81438">
        <w:rPr>
          <w:rFonts w:asciiTheme="minorHAnsi" w:hAnsiTheme="minorHAnsi" w:cstheme="minorHAnsi"/>
          <w:sz w:val="22"/>
          <w:szCs w:val="22"/>
        </w:rPr>
        <w:t xml:space="preserve">In addition, the regulations require insurers to limit disclosure of health information if the individual states in writing that such disclosure could jeopardize his/her safety. </w:t>
      </w:r>
      <w:sdt>
        <w:sdtPr>
          <w:rPr>
            <w:rFonts w:asciiTheme="minorHAnsi" w:hAnsiTheme="minorHAnsi" w:cstheme="minorHAnsi"/>
            <w:sz w:val="22"/>
            <w:szCs w:val="22"/>
          </w:rPr>
          <w:id w:val="-1335375047"/>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AST18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(ASTHO, 2018)</w:t>
          </w:r>
          <w:r w:rsidR="006E571A">
            <w:rPr>
              <w:rFonts w:asciiTheme="minorHAnsi" w:hAnsiTheme="minorHAnsi" w:cstheme="minorHAnsi"/>
              <w:sz w:val="22"/>
              <w:szCs w:val="22"/>
            </w:rPr>
            <w:fldChar w:fldCharType="end"/>
          </w:r>
        </w:sdtContent>
      </w:sdt>
    </w:p>
    <w:p w:rsidR="006E571A" w:rsidRDefault="00020EE6" w:rsidP="00F32610">
      <w:pPr>
        <w:pStyle w:val="Default"/>
        <w:numPr>
          <w:ilvl w:val="0"/>
          <w:numId w:val="8"/>
        </w:numPr>
        <w:rPr>
          <w:rFonts w:asciiTheme="minorHAnsi" w:hAnsiTheme="minorHAnsi" w:cstheme="minorHAnsi"/>
          <w:sz w:val="22"/>
          <w:szCs w:val="22"/>
        </w:rPr>
      </w:pPr>
      <w:r w:rsidRPr="00E81438">
        <w:rPr>
          <w:rFonts w:asciiTheme="minorHAnsi" w:hAnsiTheme="minorHAnsi" w:cstheme="minorHAnsi"/>
          <w:sz w:val="22"/>
          <w:szCs w:val="22"/>
        </w:rPr>
        <w:t xml:space="preserve">Insurers must also honor written requests to limit disclosure of health information related to sensitive services. </w:t>
      </w:r>
      <w:sdt>
        <w:sdtPr>
          <w:rPr>
            <w:rFonts w:asciiTheme="minorHAnsi" w:hAnsiTheme="minorHAnsi" w:cstheme="minorHAnsi"/>
            <w:sz w:val="22"/>
            <w:szCs w:val="22"/>
          </w:rPr>
          <w:id w:val="1072777697"/>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AST18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(ASTHO, 2018)</w:t>
          </w:r>
          <w:r w:rsidR="006E571A">
            <w:rPr>
              <w:rFonts w:asciiTheme="minorHAnsi" w:hAnsiTheme="minorHAnsi" w:cstheme="minorHAnsi"/>
              <w:sz w:val="22"/>
              <w:szCs w:val="22"/>
            </w:rPr>
            <w:fldChar w:fldCharType="end"/>
          </w:r>
        </w:sdtContent>
      </w:sdt>
      <w:sdt>
        <w:sdtPr>
          <w:rPr>
            <w:rFonts w:asciiTheme="minorHAnsi" w:hAnsiTheme="minorHAnsi" w:cstheme="minorHAnsi"/>
            <w:sz w:val="22"/>
            <w:szCs w:val="22"/>
          </w:rPr>
          <w:id w:val="1141007836"/>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Rac13 \l 1033 </w:instrText>
          </w:r>
          <w:r w:rsidR="006E571A">
            <w:rPr>
              <w:rFonts w:asciiTheme="minorHAnsi" w:hAnsiTheme="minorHAnsi" w:cstheme="minorHAnsi"/>
              <w:sz w:val="22"/>
              <w:szCs w:val="22"/>
            </w:rPr>
            <w:fldChar w:fldCharType="separate"/>
          </w:r>
          <w:r w:rsidR="006E571A">
            <w:rPr>
              <w:rFonts w:asciiTheme="minorHAnsi" w:hAnsiTheme="minorHAnsi" w:cstheme="minorHAnsi"/>
              <w:noProof/>
              <w:sz w:val="22"/>
              <w:szCs w:val="22"/>
            </w:rPr>
            <w:t xml:space="preserve"> </w:t>
          </w:r>
          <w:r w:rsidR="006E571A" w:rsidRPr="006E571A">
            <w:rPr>
              <w:rFonts w:asciiTheme="minorHAnsi" w:hAnsiTheme="minorHAnsi" w:cstheme="minorHAnsi"/>
              <w:noProof/>
              <w:sz w:val="22"/>
              <w:szCs w:val="22"/>
            </w:rPr>
            <w:t>(Gold, 2013)</w:t>
          </w:r>
          <w:r w:rsidR="006E571A">
            <w:rPr>
              <w:rFonts w:asciiTheme="minorHAnsi" w:hAnsiTheme="minorHAnsi" w:cstheme="minorHAnsi"/>
              <w:sz w:val="22"/>
              <w:szCs w:val="22"/>
            </w:rPr>
            <w:fldChar w:fldCharType="end"/>
          </w:r>
        </w:sdtContent>
      </w:sdt>
      <w:sdt>
        <w:sdtPr>
          <w:rPr>
            <w:rFonts w:asciiTheme="minorHAnsi" w:hAnsiTheme="minorHAnsi" w:cstheme="minorHAnsi"/>
            <w:sz w:val="22"/>
            <w:szCs w:val="22"/>
          </w:rPr>
          <w:id w:val="1127901945"/>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Abily \l 1033 </w:instrText>
          </w:r>
          <w:r w:rsidR="006E571A">
            <w:rPr>
              <w:rFonts w:asciiTheme="minorHAnsi" w:hAnsiTheme="minorHAnsi" w:cstheme="minorHAnsi"/>
              <w:sz w:val="22"/>
              <w:szCs w:val="22"/>
            </w:rPr>
            <w:fldChar w:fldCharType="separate"/>
          </w:r>
          <w:r w:rsidR="006E571A">
            <w:rPr>
              <w:rFonts w:asciiTheme="minorHAnsi" w:hAnsiTheme="minorHAnsi" w:cstheme="minorHAnsi"/>
              <w:noProof/>
              <w:sz w:val="22"/>
              <w:szCs w:val="22"/>
            </w:rPr>
            <w:t xml:space="preserve"> </w:t>
          </w:r>
          <w:r w:rsidR="006E571A" w:rsidRPr="006E571A">
            <w:rPr>
              <w:rFonts w:asciiTheme="minorHAnsi" w:hAnsiTheme="minorHAnsi" w:cstheme="minorHAnsi"/>
              <w:noProof/>
              <w:sz w:val="22"/>
              <w:szCs w:val="22"/>
            </w:rPr>
            <w:t>(Abigail English, July)</w:t>
          </w:r>
          <w:r w:rsidR="006E571A">
            <w:rPr>
              <w:rFonts w:asciiTheme="minorHAnsi" w:hAnsiTheme="minorHAnsi" w:cstheme="minorHAnsi"/>
              <w:sz w:val="22"/>
              <w:szCs w:val="22"/>
            </w:rPr>
            <w:fldChar w:fldCharType="end"/>
          </w:r>
        </w:sdtContent>
      </w:sdt>
    </w:p>
    <w:p w:rsidR="006E571A" w:rsidRPr="006E571A" w:rsidRDefault="006E571A" w:rsidP="006E571A">
      <w:pPr>
        <w:pStyle w:val="ListParagraph"/>
        <w:numPr>
          <w:ilvl w:val="1"/>
          <w:numId w:val="8"/>
        </w:numPr>
        <w:rPr>
          <w:rFonts w:cstheme="minorHAnsi"/>
        </w:rPr>
      </w:pPr>
      <w:r w:rsidRPr="006E571A">
        <w:rPr>
          <w:rFonts w:cstheme="minorHAnsi"/>
        </w:rPr>
        <w:t xml:space="preserve">regulation provides that insurers: …shall limit disclosure of any information, including health information, about an individual who is the subject of the information if the individual clearly states in writing that disclosure to specified individuals of all or part of that information could jeopardize the safety of the individual. </w:t>
      </w:r>
      <w:proofErr w:type="gramStart"/>
      <w:r w:rsidRPr="006E571A">
        <w:rPr>
          <w:rFonts w:cstheme="minorHAnsi"/>
        </w:rPr>
        <w:t xml:space="preserve">Disclosure of information under this subsection shall be limited consistent with the individual’s request, such as a request for the licensee to not release any information to a spouse to prevent domestic violence…[and] shall not disclose nonpublic personal health information concerning health services related to reproductive health, sexually transmitted diseases, chemical dependency and mental health, including mailing appointment notices, calling the home to confirm appointments, or mailing a bill or explanation of benefits to a policyholder or </w:t>
      </w:r>
      <w:proofErr w:type="spellStart"/>
      <w:r w:rsidRPr="006E571A">
        <w:rPr>
          <w:rFonts w:cstheme="minorHAnsi"/>
        </w:rPr>
        <w:t>certificateholder</w:t>
      </w:r>
      <w:proofErr w:type="spellEnd"/>
      <w:r w:rsidRPr="006E571A">
        <w:rPr>
          <w:rFonts w:cstheme="minorHAnsi"/>
        </w:rPr>
        <w:t>, if the individual who is the subject of the information makes a written request…[and] shall not require an adult individual to obtain the policyholder’s or other covered person’s authorization to receive health care services or to submit a claim…[and] shall recognize the right of any minor who may obtain health care without the consent of a parent or legal guardian pursuant to state or federal law, to exclusively exercise rights granted under this section regarding health information; and…[s]hall not disclose any nonpublic personal health information related to any health care service to which the minor has lawfully consented, including mailing appointment notices, calling the home to confirm appointments, or mailing a bill or explanation of benefits to a policyholder or other covered person, without the express authorization of the minor.</w:t>
      </w:r>
      <w:proofErr w:type="gramEnd"/>
      <w:r w:rsidRPr="006E571A">
        <w:rPr>
          <w:rFonts w:cstheme="minorHAnsi"/>
        </w:rPr>
        <w:t xml:space="preserve"> In addition, a licensee shall not require the minor to obtain the policyholder’s or other covered person’s authorization to receive health care services or to submit a claim as to health </w:t>
      </w:r>
      <w:proofErr w:type="gramStart"/>
      <w:r w:rsidRPr="006E571A">
        <w:rPr>
          <w:rFonts w:cstheme="minorHAnsi"/>
        </w:rPr>
        <w:t>care which</w:t>
      </w:r>
      <w:proofErr w:type="gramEnd"/>
      <w:r w:rsidRPr="006E571A">
        <w:rPr>
          <w:rFonts w:cstheme="minorHAnsi"/>
        </w:rPr>
        <w:t xml:space="preserve"> the minor may obtain without parental consent under state or federal law.61 (Wash. Admin. Code § 284-04-510.)</w:t>
      </w:r>
      <w:r>
        <w:rPr>
          <w:rFonts w:cstheme="minorHAnsi"/>
        </w:rPr>
        <w:t xml:space="preserve"> </w:t>
      </w:r>
      <w:sdt>
        <w:sdtPr>
          <w:rPr>
            <w:rFonts w:cstheme="minorHAnsi"/>
          </w:rPr>
          <w:id w:val="910437905"/>
          <w:citation/>
        </w:sdtPr>
        <w:sdtContent>
          <w:r>
            <w:rPr>
              <w:rFonts w:cstheme="minorHAnsi"/>
            </w:rPr>
            <w:fldChar w:fldCharType="begin"/>
          </w:r>
          <w:r>
            <w:rPr>
              <w:rFonts w:cstheme="minorHAnsi"/>
            </w:rPr>
            <w:instrText xml:space="preserve"> CITATION Abily \l 1033 </w:instrText>
          </w:r>
          <w:r>
            <w:rPr>
              <w:rFonts w:cstheme="minorHAnsi"/>
            </w:rPr>
            <w:fldChar w:fldCharType="separate"/>
          </w:r>
          <w:r w:rsidRPr="006E571A">
            <w:rPr>
              <w:rFonts w:cstheme="minorHAnsi"/>
              <w:noProof/>
            </w:rPr>
            <w:t>(Abigail English, July)</w:t>
          </w:r>
          <w:r>
            <w:rPr>
              <w:rFonts w:cstheme="minorHAnsi"/>
            </w:rPr>
            <w:fldChar w:fldCharType="end"/>
          </w:r>
        </w:sdtContent>
      </w:sdt>
    </w:p>
    <w:p w:rsidR="00020EE6" w:rsidRPr="00E81438" w:rsidRDefault="00020EE6" w:rsidP="00F32610">
      <w:pPr>
        <w:pStyle w:val="Default"/>
        <w:numPr>
          <w:ilvl w:val="0"/>
          <w:numId w:val="8"/>
        </w:numPr>
        <w:rPr>
          <w:rFonts w:asciiTheme="minorHAnsi" w:hAnsiTheme="minorHAnsi" w:cstheme="minorHAnsi"/>
          <w:sz w:val="22"/>
          <w:szCs w:val="22"/>
        </w:rPr>
      </w:pPr>
      <w:proofErr w:type="gramStart"/>
      <w:r w:rsidRPr="00E81438">
        <w:rPr>
          <w:rFonts w:asciiTheme="minorHAnsi" w:hAnsiTheme="minorHAnsi" w:cstheme="minorHAnsi"/>
          <w:sz w:val="22"/>
          <w:szCs w:val="22"/>
        </w:rPr>
        <w:t>implementation</w:t>
      </w:r>
      <w:proofErr w:type="gramEnd"/>
      <w:r w:rsidRPr="00E81438">
        <w:rPr>
          <w:rFonts w:asciiTheme="minorHAnsi" w:hAnsiTheme="minorHAnsi" w:cstheme="minorHAnsi"/>
          <w:sz w:val="22"/>
          <w:szCs w:val="22"/>
        </w:rPr>
        <w:t xml:space="preserve"> has been relatively limited, </w:t>
      </w:r>
      <w:r w:rsidR="006E571A" w:rsidRPr="00E81438">
        <w:rPr>
          <w:rFonts w:asciiTheme="minorHAnsi" w:hAnsiTheme="minorHAnsi" w:cstheme="minorHAnsi"/>
          <w:sz w:val="22"/>
          <w:szCs w:val="22"/>
        </w:rPr>
        <w:t>process is not well known and can conflict with individual insurance companies’ practices of issuing EOBs</w:t>
      </w:r>
      <w:r w:rsidRPr="00E81438">
        <w:rPr>
          <w:rFonts w:asciiTheme="minorHAnsi" w:hAnsiTheme="minorHAnsi" w:cstheme="minorHAnsi"/>
          <w:sz w:val="22"/>
          <w:szCs w:val="22"/>
        </w:rPr>
        <w:t>.</w:t>
      </w:r>
      <w:r w:rsidR="00E81438">
        <w:rPr>
          <w:rFonts w:asciiTheme="minorHAnsi" w:hAnsiTheme="minorHAnsi" w:cstheme="minorHAnsi"/>
          <w:sz w:val="22"/>
          <w:szCs w:val="22"/>
        </w:rPr>
        <w:t xml:space="preserve"> </w:t>
      </w:r>
      <w:sdt>
        <w:sdtPr>
          <w:rPr>
            <w:rFonts w:asciiTheme="minorHAnsi" w:hAnsiTheme="minorHAnsi" w:cstheme="minorHAnsi"/>
            <w:sz w:val="22"/>
            <w:szCs w:val="22"/>
          </w:rPr>
          <w:id w:val="-1642420953"/>
          <w:citation/>
        </w:sdtPr>
        <w:sdtContent>
          <w:r w:rsidR="00E81438">
            <w:rPr>
              <w:rFonts w:asciiTheme="minorHAnsi" w:hAnsiTheme="minorHAnsi" w:cstheme="minorHAnsi"/>
              <w:sz w:val="22"/>
              <w:szCs w:val="22"/>
            </w:rPr>
            <w:fldChar w:fldCharType="begin"/>
          </w:r>
          <w:r w:rsidR="00E81438">
            <w:rPr>
              <w:rFonts w:asciiTheme="minorHAnsi" w:hAnsiTheme="minorHAnsi" w:cstheme="minorHAnsi"/>
              <w:sz w:val="22"/>
              <w:szCs w:val="22"/>
            </w:rPr>
            <w:instrText xml:space="preserve"> CITATION AST18 \l 1033 </w:instrText>
          </w:r>
          <w:r w:rsidR="00E81438">
            <w:rPr>
              <w:rFonts w:asciiTheme="minorHAnsi" w:hAnsiTheme="minorHAnsi" w:cstheme="minorHAnsi"/>
              <w:sz w:val="22"/>
              <w:szCs w:val="22"/>
            </w:rPr>
            <w:fldChar w:fldCharType="separate"/>
          </w:r>
          <w:r w:rsidR="00E81438" w:rsidRPr="00E81438">
            <w:rPr>
              <w:rFonts w:asciiTheme="minorHAnsi" w:hAnsiTheme="minorHAnsi" w:cstheme="minorHAnsi"/>
              <w:noProof/>
              <w:sz w:val="22"/>
              <w:szCs w:val="22"/>
            </w:rPr>
            <w:t>(ASTHO, 2018)</w:t>
          </w:r>
          <w:r w:rsidR="00E81438">
            <w:rPr>
              <w:rFonts w:asciiTheme="minorHAnsi" w:hAnsiTheme="minorHAnsi" w:cstheme="minorHAnsi"/>
              <w:sz w:val="22"/>
              <w:szCs w:val="22"/>
            </w:rPr>
            <w:fldChar w:fldCharType="end"/>
          </w:r>
        </w:sdtContent>
      </w:sdt>
      <w:r w:rsidRPr="00E81438">
        <w:rPr>
          <w:rFonts w:asciiTheme="minorHAnsi" w:hAnsiTheme="minorHAnsi" w:cstheme="minorHAnsi"/>
          <w:sz w:val="22"/>
          <w:szCs w:val="22"/>
        </w:rPr>
        <w:t xml:space="preserve"> </w:t>
      </w:r>
      <w:sdt>
        <w:sdtPr>
          <w:rPr>
            <w:rFonts w:asciiTheme="minorHAnsi" w:hAnsiTheme="minorHAnsi" w:cstheme="minorHAnsi"/>
            <w:sz w:val="22"/>
            <w:szCs w:val="22"/>
          </w:rPr>
          <w:id w:val="-350257972"/>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Sch14 \l 1033 </w:instrText>
          </w:r>
          <w:r w:rsidR="006E571A">
            <w:rPr>
              <w:rFonts w:asciiTheme="minorHAnsi" w:hAnsiTheme="minorHAnsi" w:cstheme="minorHAnsi"/>
              <w:sz w:val="22"/>
              <w:szCs w:val="22"/>
            </w:rPr>
            <w:fldChar w:fldCharType="separate"/>
          </w:r>
          <w:r w:rsidR="006E571A" w:rsidRPr="006E571A">
            <w:rPr>
              <w:rFonts w:asciiTheme="minorHAnsi" w:hAnsiTheme="minorHAnsi" w:cstheme="minorHAnsi"/>
              <w:noProof/>
              <w:sz w:val="22"/>
              <w:szCs w:val="22"/>
            </w:rPr>
            <w:t>(Schuyler Center for Analysis and Advocacy, 2014)</w:t>
          </w:r>
          <w:r w:rsidR="006E571A">
            <w:rPr>
              <w:rFonts w:asciiTheme="minorHAnsi" w:hAnsiTheme="minorHAnsi" w:cstheme="minorHAnsi"/>
              <w:sz w:val="22"/>
              <w:szCs w:val="22"/>
            </w:rPr>
            <w:fldChar w:fldCharType="end"/>
          </w:r>
        </w:sdtContent>
      </w:sdt>
      <w:sdt>
        <w:sdtPr>
          <w:rPr>
            <w:rFonts w:asciiTheme="minorHAnsi" w:hAnsiTheme="minorHAnsi" w:cstheme="minorHAnsi"/>
            <w:sz w:val="22"/>
            <w:szCs w:val="22"/>
          </w:rPr>
          <w:id w:val="1226567300"/>
          <w:citation/>
        </w:sdtPr>
        <w:sdtContent>
          <w:r w:rsidR="006E571A">
            <w:rPr>
              <w:rFonts w:asciiTheme="minorHAnsi" w:hAnsiTheme="minorHAnsi" w:cstheme="minorHAnsi"/>
              <w:sz w:val="22"/>
              <w:szCs w:val="22"/>
            </w:rPr>
            <w:fldChar w:fldCharType="begin"/>
          </w:r>
          <w:r w:rsidR="006E571A">
            <w:rPr>
              <w:rFonts w:asciiTheme="minorHAnsi" w:hAnsiTheme="minorHAnsi" w:cstheme="minorHAnsi"/>
              <w:sz w:val="22"/>
              <w:szCs w:val="22"/>
            </w:rPr>
            <w:instrText xml:space="preserve"> CITATION Rac13 \l 1033 </w:instrText>
          </w:r>
          <w:r w:rsidR="006E571A">
            <w:rPr>
              <w:rFonts w:asciiTheme="minorHAnsi" w:hAnsiTheme="minorHAnsi" w:cstheme="minorHAnsi"/>
              <w:sz w:val="22"/>
              <w:szCs w:val="22"/>
            </w:rPr>
            <w:fldChar w:fldCharType="separate"/>
          </w:r>
          <w:r w:rsidR="006E571A">
            <w:rPr>
              <w:rFonts w:asciiTheme="minorHAnsi" w:hAnsiTheme="minorHAnsi" w:cstheme="minorHAnsi"/>
              <w:noProof/>
              <w:sz w:val="22"/>
              <w:szCs w:val="22"/>
            </w:rPr>
            <w:t xml:space="preserve"> </w:t>
          </w:r>
          <w:r w:rsidR="006E571A" w:rsidRPr="006E571A">
            <w:rPr>
              <w:rFonts w:asciiTheme="minorHAnsi" w:hAnsiTheme="minorHAnsi" w:cstheme="minorHAnsi"/>
              <w:noProof/>
              <w:sz w:val="22"/>
              <w:szCs w:val="22"/>
            </w:rPr>
            <w:t>(Gold, 2013)</w:t>
          </w:r>
          <w:r w:rsidR="006E571A">
            <w:rPr>
              <w:rFonts w:asciiTheme="minorHAnsi" w:hAnsiTheme="minorHAnsi" w:cstheme="minorHAnsi"/>
              <w:sz w:val="22"/>
              <w:szCs w:val="22"/>
            </w:rPr>
            <w:fldChar w:fldCharType="end"/>
          </w:r>
        </w:sdtContent>
      </w:sdt>
    </w:p>
    <w:p w:rsidR="006E571A" w:rsidRDefault="006E571A" w:rsidP="00E81438">
      <w:pPr>
        <w:pStyle w:val="Default"/>
        <w:rPr>
          <w:rFonts w:asciiTheme="minorHAnsi" w:hAnsiTheme="minorHAnsi" w:cstheme="minorHAnsi"/>
          <w:sz w:val="22"/>
          <w:szCs w:val="22"/>
        </w:rPr>
      </w:pPr>
    </w:p>
    <w:p w:rsidR="00E81438" w:rsidRDefault="00E81438" w:rsidP="00E81438">
      <w:pPr>
        <w:pStyle w:val="Default"/>
        <w:rPr>
          <w:rFonts w:asciiTheme="minorHAnsi" w:hAnsiTheme="minorHAnsi" w:cstheme="minorHAnsi"/>
          <w:sz w:val="22"/>
          <w:szCs w:val="22"/>
        </w:rPr>
      </w:pPr>
      <w:r>
        <w:rPr>
          <w:rFonts w:asciiTheme="minorHAnsi" w:hAnsiTheme="minorHAnsi" w:cstheme="minorHAnsi"/>
          <w:sz w:val="22"/>
          <w:szCs w:val="22"/>
        </w:rPr>
        <w:t>C</w:t>
      </w:r>
      <w:r w:rsidR="006E571A">
        <w:rPr>
          <w:rFonts w:asciiTheme="minorHAnsi" w:hAnsiTheme="minorHAnsi" w:cstheme="minorHAnsi"/>
          <w:sz w:val="22"/>
          <w:szCs w:val="22"/>
        </w:rPr>
        <w:t>olorado</w:t>
      </w:r>
    </w:p>
    <w:p w:rsidR="00C500B2" w:rsidRDefault="00E81438" w:rsidP="00C500B2">
      <w:pPr>
        <w:pStyle w:val="Default"/>
        <w:numPr>
          <w:ilvl w:val="0"/>
          <w:numId w:val="9"/>
        </w:numPr>
        <w:rPr>
          <w:rFonts w:asciiTheme="minorHAnsi" w:hAnsiTheme="minorHAnsi" w:cstheme="minorHAnsi"/>
          <w:sz w:val="22"/>
          <w:szCs w:val="22"/>
        </w:rPr>
      </w:pPr>
      <w:proofErr w:type="gramStart"/>
      <w:r w:rsidRPr="00E81438">
        <w:rPr>
          <w:rFonts w:asciiTheme="minorHAnsi" w:hAnsiTheme="minorHAnsi" w:cstheme="minorHAnsi"/>
          <w:sz w:val="22"/>
          <w:szCs w:val="22"/>
        </w:rPr>
        <w:t>regulatory</w:t>
      </w:r>
      <w:proofErr w:type="gramEnd"/>
      <w:r w:rsidRPr="00E81438">
        <w:rPr>
          <w:rFonts w:asciiTheme="minorHAnsi" w:hAnsiTheme="minorHAnsi" w:cstheme="minorHAnsi"/>
          <w:sz w:val="22"/>
          <w:szCs w:val="22"/>
        </w:rPr>
        <w:t xml:space="preserve"> approach is more limited in that it only applies to adult children or adult dependents covered under a family member’s plan and requires carriers to take reasonable steps to ensure their PHI is protected, but does not outline specific procedures by which this needs to happen. </w:t>
      </w:r>
      <w:sdt>
        <w:sdtPr>
          <w:rPr>
            <w:rFonts w:asciiTheme="minorHAnsi" w:hAnsiTheme="minorHAnsi" w:cstheme="minorHAnsi"/>
            <w:sz w:val="22"/>
            <w:szCs w:val="22"/>
          </w:rPr>
          <w:id w:val="-86854434"/>
          <w:citation/>
        </w:sdtPr>
        <w:sdtContent>
          <w:r w:rsidR="00C500B2">
            <w:rPr>
              <w:rFonts w:asciiTheme="minorHAnsi" w:hAnsiTheme="minorHAnsi" w:cstheme="minorHAnsi"/>
              <w:sz w:val="22"/>
              <w:szCs w:val="22"/>
            </w:rPr>
            <w:fldChar w:fldCharType="begin"/>
          </w:r>
          <w:r w:rsidR="00C500B2">
            <w:rPr>
              <w:rFonts w:asciiTheme="minorHAnsi" w:hAnsiTheme="minorHAnsi" w:cstheme="minorHAnsi"/>
              <w:sz w:val="22"/>
              <w:szCs w:val="22"/>
            </w:rPr>
            <w:instrText xml:space="preserve"> CITATION AST18 \l 1033 </w:instrText>
          </w:r>
          <w:r w:rsidR="00C500B2">
            <w:rPr>
              <w:rFonts w:asciiTheme="minorHAnsi" w:hAnsiTheme="minorHAnsi" w:cstheme="minorHAnsi"/>
              <w:sz w:val="22"/>
              <w:szCs w:val="22"/>
            </w:rPr>
            <w:fldChar w:fldCharType="separate"/>
          </w:r>
          <w:r w:rsidR="00C500B2" w:rsidRPr="00C500B2">
            <w:rPr>
              <w:rFonts w:asciiTheme="minorHAnsi" w:hAnsiTheme="minorHAnsi" w:cstheme="minorHAnsi"/>
              <w:noProof/>
              <w:sz w:val="22"/>
              <w:szCs w:val="22"/>
            </w:rPr>
            <w:t>(ASTHO, 2018)</w:t>
          </w:r>
          <w:r w:rsidR="00C500B2">
            <w:rPr>
              <w:rFonts w:asciiTheme="minorHAnsi" w:hAnsiTheme="minorHAnsi" w:cstheme="minorHAnsi"/>
              <w:sz w:val="22"/>
              <w:szCs w:val="22"/>
            </w:rPr>
            <w:fldChar w:fldCharType="end"/>
          </w:r>
        </w:sdtContent>
      </w:sdt>
      <w:sdt>
        <w:sdtPr>
          <w:rPr>
            <w:rFonts w:asciiTheme="minorHAnsi" w:hAnsiTheme="minorHAnsi" w:cstheme="minorHAnsi"/>
            <w:sz w:val="22"/>
            <w:szCs w:val="22"/>
          </w:rPr>
          <w:id w:val="1138841929"/>
          <w:citation/>
        </w:sdtPr>
        <w:sdtContent>
          <w:r w:rsidR="00C500B2">
            <w:rPr>
              <w:rFonts w:asciiTheme="minorHAnsi" w:hAnsiTheme="minorHAnsi" w:cstheme="minorHAnsi"/>
              <w:sz w:val="22"/>
              <w:szCs w:val="22"/>
            </w:rPr>
            <w:fldChar w:fldCharType="begin"/>
          </w:r>
          <w:r w:rsidR="00C500B2">
            <w:rPr>
              <w:rFonts w:asciiTheme="minorHAnsi" w:hAnsiTheme="minorHAnsi" w:cstheme="minorHAnsi"/>
              <w:sz w:val="22"/>
              <w:szCs w:val="22"/>
            </w:rPr>
            <w:instrText xml:space="preserve"> CITATION Rac13 \l 1033 </w:instrText>
          </w:r>
          <w:r w:rsidR="00C500B2">
            <w:rPr>
              <w:rFonts w:asciiTheme="minorHAnsi" w:hAnsiTheme="minorHAnsi" w:cstheme="minorHAnsi"/>
              <w:sz w:val="22"/>
              <w:szCs w:val="22"/>
            </w:rPr>
            <w:fldChar w:fldCharType="separate"/>
          </w:r>
          <w:r w:rsidR="00C500B2">
            <w:rPr>
              <w:rFonts w:asciiTheme="minorHAnsi" w:hAnsiTheme="minorHAnsi" w:cstheme="minorHAnsi"/>
              <w:noProof/>
              <w:sz w:val="22"/>
              <w:szCs w:val="22"/>
            </w:rPr>
            <w:t xml:space="preserve"> </w:t>
          </w:r>
          <w:r w:rsidR="00C500B2" w:rsidRPr="00C500B2">
            <w:rPr>
              <w:rFonts w:asciiTheme="minorHAnsi" w:hAnsiTheme="minorHAnsi" w:cstheme="minorHAnsi"/>
              <w:noProof/>
              <w:sz w:val="22"/>
              <w:szCs w:val="22"/>
            </w:rPr>
            <w:t>(Gold, 2013)</w:t>
          </w:r>
          <w:r w:rsidR="00C500B2">
            <w:rPr>
              <w:rFonts w:asciiTheme="minorHAnsi" w:hAnsiTheme="minorHAnsi" w:cstheme="minorHAnsi"/>
              <w:sz w:val="22"/>
              <w:szCs w:val="22"/>
            </w:rPr>
            <w:fldChar w:fldCharType="end"/>
          </w:r>
        </w:sdtContent>
      </w:sdt>
    </w:p>
    <w:p w:rsidR="00E81438" w:rsidRDefault="00E81438" w:rsidP="00C500B2">
      <w:pPr>
        <w:pStyle w:val="Default"/>
        <w:numPr>
          <w:ilvl w:val="0"/>
          <w:numId w:val="9"/>
        </w:numPr>
        <w:rPr>
          <w:rFonts w:asciiTheme="minorHAnsi" w:hAnsiTheme="minorHAnsi" w:cstheme="minorHAnsi"/>
          <w:sz w:val="22"/>
          <w:szCs w:val="22"/>
        </w:rPr>
      </w:pPr>
      <w:r w:rsidRPr="00E81438">
        <w:rPr>
          <w:rFonts w:asciiTheme="minorHAnsi" w:hAnsiTheme="minorHAnsi" w:cstheme="minorHAnsi"/>
          <w:sz w:val="22"/>
          <w:szCs w:val="22"/>
        </w:rPr>
        <w:t>The lack of specificity has presented challenges around implementation since the regulation took effect in January 2014.</w:t>
      </w:r>
      <w:sdt>
        <w:sdtPr>
          <w:rPr>
            <w:rFonts w:asciiTheme="minorHAnsi" w:hAnsiTheme="minorHAnsi" w:cstheme="minorHAnsi"/>
            <w:sz w:val="22"/>
            <w:szCs w:val="22"/>
          </w:rPr>
          <w:id w:val="756323722"/>
          <w:citation/>
        </w:sdtPr>
        <w:sdtContent>
          <w:r w:rsidRPr="00E81438">
            <w:rPr>
              <w:rFonts w:asciiTheme="minorHAnsi" w:hAnsiTheme="minorHAnsi" w:cstheme="minorHAnsi"/>
              <w:sz w:val="22"/>
              <w:szCs w:val="22"/>
            </w:rPr>
            <w:fldChar w:fldCharType="begin"/>
          </w:r>
          <w:r w:rsidRPr="00E81438">
            <w:rPr>
              <w:rFonts w:asciiTheme="minorHAnsi" w:hAnsiTheme="minorHAnsi" w:cstheme="minorHAnsi"/>
              <w:sz w:val="22"/>
              <w:szCs w:val="22"/>
            </w:rPr>
            <w:instrText xml:space="preserve"> CITATION AST18 \l 1033 </w:instrText>
          </w:r>
          <w:r w:rsidRPr="00E81438">
            <w:rPr>
              <w:rFonts w:asciiTheme="minorHAnsi" w:hAnsiTheme="minorHAnsi" w:cstheme="minorHAnsi"/>
              <w:sz w:val="22"/>
              <w:szCs w:val="22"/>
            </w:rPr>
            <w:fldChar w:fldCharType="separate"/>
          </w:r>
          <w:r w:rsidRPr="00E81438">
            <w:rPr>
              <w:rFonts w:asciiTheme="minorHAnsi" w:hAnsiTheme="minorHAnsi" w:cstheme="minorHAnsi"/>
              <w:noProof/>
              <w:sz w:val="22"/>
              <w:szCs w:val="22"/>
            </w:rPr>
            <w:t xml:space="preserve"> (ASTHO, 2018)</w:t>
          </w:r>
          <w:r w:rsidRPr="00E81438">
            <w:rPr>
              <w:rFonts w:asciiTheme="minorHAnsi" w:hAnsiTheme="minorHAnsi" w:cstheme="minorHAnsi"/>
              <w:sz w:val="22"/>
              <w:szCs w:val="22"/>
            </w:rPr>
            <w:fldChar w:fldCharType="end"/>
          </w:r>
        </w:sdtContent>
      </w:sdt>
      <w:r w:rsidRPr="00E81438">
        <w:rPr>
          <w:rFonts w:asciiTheme="minorHAnsi" w:hAnsiTheme="minorHAnsi" w:cstheme="minorHAnsi"/>
          <w:sz w:val="22"/>
          <w:szCs w:val="22"/>
        </w:rPr>
        <w:t xml:space="preserve"> </w:t>
      </w:r>
    </w:p>
    <w:p w:rsidR="00C500B2" w:rsidRPr="00C500B2" w:rsidRDefault="00C500B2" w:rsidP="00C500B2">
      <w:pPr>
        <w:pStyle w:val="ListParagraph"/>
        <w:numPr>
          <w:ilvl w:val="0"/>
          <w:numId w:val="9"/>
        </w:numPr>
        <w:rPr>
          <w:rFonts w:cstheme="minorHAnsi"/>
        </w:rPr>
      </w:pPr>
      <w:proofErr w:type="gramStart"/>
      <w:r w:rsidRPr="00C500B2">
        <w:rPr>
          <w:rFonts w:cstheme="minorHAnsi"/>
          <w:color w:val="555555"/>
          <w:shd w:val="clear" w:color="auto" w:fill="FFFFFF"/>
        </w:rPr>
        <w:t>requires</w:t>
      </w:r>
      <w:proofErr w:type="gramEnd"/>
      <w:r w:rsidRPr="00C500B2">
        <w:rPr>
          <w:rFonts w:cstheme="minorHAnsi"/>
          <w:color w:val="555555"/>
          <w:shd w:val="clear" w:color="auto" w:fill="FFFFFF"/>
        </w:rPr>
        <w:t xml:space="preserve"> plans to develop a way to communicate directly with the dependent so that information would not be sent to the policyholder without the dependent’s consent. </w:t>
      </w:r>
      <w:sdt>
        <w:sdtPr>
          <w:id w:val="-862436897"/>
          <w:citation/>
        </w:sdtPr>
        <w:sdtContent>
          <w:r w:rsidRPr="00C500B2">
            <w:rPr>
              <w:rFonts w:cstheme="minorHAnsi"/>
            </w:rPr>
            <w:fldChar w:fldCharType="begin"/>
          </w:r>
          <w:r w:rsidRPr="00C500B2">
            <w:rPr>
              <w:rFonts w:cstheme="minorHAnsi"/>
            </w:rPr>
            <w:instrText xml:space="preserve"> CITATION Rac13 \l 1033 </w:instrText>
          </w:r>
          <w:r w:rsidRPr="00C500B2">
            <w:rPr>
              <w:rFonts w:cstheme="minorHAnsi"/>
            </w:rPr>
            <w:fldChar w:fldCharType="separate"/>
          </w:r>
          <w:r w:rsidRPr="00C500B2">
            <w:rPr>
              <w:rFonts w:cstheme="minorHAnsi"/>
              <w:noProof/>
            </w:rPr>
            <w:t>(Gold, 2013)</w:t>
          </w:r>
          <w:r w:rsidRPr="00C500B2">
            <w:rPr>
              <w:rFonts w:cstheme="minorHAnsi"/>
            </w:rPr>
            <w:fldChar w:fldCharType="end"/>
          </w:r>
        </w:sdtContent>
      </w:sdt>
    </w:p>
    <w:p w:rsidR="00563F59" w:rsidRDefault="00563F59" w:rsidP="00563F59">
      <w:pPr>
        <w:rPr>
          <w:rFonts w:cstheme="minorHAnsi"/>
        </w:rPr>
      </w:pPr>
      <w:r w:rsidRPr="00E81438">
        <w:rPr>
          <w:rFonts w:cstheme="minorHAnsi"/>
        </w:rPr>
        <w:t>M</w:t>
      </w:r>
      <w:r w:rsidR="00C500B2">
        <w:rPr>
          <w:rFonts w:cstheme="minorHAnsi"/>
        </w:rPr>
        <w:t>assachusetts</w:t>
      </w:r>
      <w:r w:rsidRPr="00E81438">
        <w:rPr>
          <w:rFonts w:cstheme="minorHAnsi"/>
        </w:rPr>
        <w:t>*</w:t>
      </w:r>
      <w:r w:rsidR="00C500B2">
        <w:rPr>
          <w:rFonts w:cstheme="minorHAnsi"/>
        </w:rPr>
        <w:t>, New York and Wisconsin</w:t>
      </w:r>
      <w:r w:rsidRPr="00E81438">
        <w:rPr>
          <w:rFonts w:cstheme="minorHAnsi"/>
        </w:rPr>
        <w:t xml:space="preserve"> - </w:t>
      </w:r>
      <w:r w:rsidRPr="00C500B2">
        <w:rPr>
          <w:rFonts w:cstheme="minorHAnsi"/>
          <w:shd w:val="clear" w:color="auto" w:fill="FFFFFF"/>
        </w:rPr>
        <w:t>only sends EOBs when there is a balance due on the claim beyond whatever copayment was paid at the time of service</w:t>
      </w:r>
      <w:r w:rsidRPr="00C500B2">
        <w:rPr>
          <w:rFonts w:cstheme="minorHAnsi"/>
        </w:rPr>
        <w:t xml:space="preserve"> </w:t>
      </w:r>
      <w:r w:rsidRPr="00E81438">
        <w:rPr>
          <w:rFonts w:cstheme="minorHAnsi"/>
        </w:rPr>
        <w:t xml:space="preserve">– only for BCBS of Mass </w:t>
      </w:r>
      <w:sdt>
        <w:sdtPr>
          <w:rPr>
            <w:rFonts w:cstheme="minorHAnsi"/>
          </w:rPr>
          <w:id w:val="696209123"/>
          <w:citation/>
        </w:sdtPr>
        <w:sdtContent>
          <w:r w:rsidRPr="00E81438">
            <w:rPr>
              <w:rFonts w:cstheme="minorHAnsi"/>
            </w:rPr>
            <w:fldChar w:fldCharType="begin"/>
          </w:r>
          <w:r w:rsidRPr="00E81438">
            <w:rPr>
              <w:rFonts w:eastAsia="Times New Roman" w:cstheme="minorHAnsi"/>
            </w:rPr>
            <w:instrText xml:space="preserve"> CITATION Rac13 \l 1033 </w:instrText>
          </w:r>
          <w:r w:rsidRPr="00E81438">
            <w:rPr>
              <w:rFonts w:cstheme="minorHAnsi"/>
            </w:rPr>
            <w:fldChar w:fldCharType="separate"/>
          </w:r>
          <w:r w:rsidRPr="00E81438">
            <w:rPr>
              <w:rFonts w:eastAsia="Times New Roman" w:cstheme="minorHAnsi"/>
              <w:noProof/>
            </w:rPr>
            <w:t>(Gold, 2013)</w:t>
          </w:r>
          <w:r w:rsidRPr="00E81438">
            <w:rPr>
              <w:rFonts w:cstheme="minorHAnsi"/>
            </w:rPr>
            <w:fldChar w:fldCharType="end"/>
          </w:r>
        </w:sdtContent>
      </w:sdt>
    </w:p>
    <w:p w:rsidR="00C500B2" w:rsidRDefault="00C500B2" w:rsidP="00563F59">
      <w:pPr>
        <w:rPr>
          <w:rFonts w:cstheme="minorHAnsi"/>
        </w:rPr>
      </w:pPr>
      <w:r>
        <w:rPr>
          <w:rFonts w:cstheme="minorHAnsi"/>
        </w:rPr>
        <w:t>Massachusetts</w:t>
      </w:r>
    </w:p>
    <w:p w:rsidR="00020EE6" w:rsidRPr="00E81438" w:rsidRDefault="00020EE6" w:rsidP="00020EE6">
      <w:pPr>
        <w:rPr>
          <w:rFonts w:cstheme="minorHAnsi"/>
          <w:color w:val="333333"/>
          <w:shd w:val="clear" w:color="auto" w:fill="FFFFFF"/>
        </w:rPr>
      </w:pPr>
      <w:r w:rsidRPr="00E81438">
        <w:rPr>
          <w:rFonts w:cstheme="minorHAnsi"/>
          <w:color w:val="333333"/>
          <w:shd w:val="clear" w:color="auto" w:fill="FFFFFF"/>
        </w:rPr>
        <w:t xml:space="preserve">Sensitive health information contained in an EOB </w:t>
      </w:r>
      <w:proofErr w:type="gramStart"/>
      <w:r w:rsidRPr="00E81438">
        <w:rPr>
          <w:rFonts w:cstheme="minorHAnsi"/>
          <w:color w:val="333333"/>
          <w:shd w:val="clear" w:color="auto" w:fill="FFFFFF"/>
        </w:rPr>
        <w:t>can no longer be shared</w:t>
      </w:r>
      <w:proofErr w:type="gramEnd"/>
      <w:r w:rsidRPr="00E81438">
        <w:rPr>
          <w:rFonts w:cstheme="minorHAnsi"/>
          <w:color w:val="333333"/>
          <w:shd w:val="clear" w:color="auto" w:fill="FFFFFF"/>
        </w:rPr>
        <w:t xml:space="preserve"> with the primary subscriber of a health plan if that person is not the patient in the state of Massachusetts.</w:t>
      </w:r>
    </w:p>
    <w:p w:rsidR="00020EE6" w:rsidRPr="00E81438" w:rsidRDefault="00020EE6" w:rsidP="00020EE6">
      <w:pPr>
        <w:pStyle w:val="NormalWeb"/>
        <w:shd w:val="clear" w:color="auto" w:fill="FFFFFF"/>
        <w:spacing w:before="225" w:beforeAutospacing="0" w:after="150" w:afterAutospacing="0" w:line="330" w:lineRule="atLeast"/>
        <w:rPr>
          <w:rFonts w:asciiTheme="minorHAnsi" w:hAnsiTheme="minorHAnsi" w:cstheme="minorHAnsi"/>
          <w:color w:val="333333"/>
          <w:sz w:val="22"/>
          <w:szCs w:val="22"/>
        </w:rPr>
      </w:pPr>
      <w:r w:rsidRPr="00E81438">
        <w:rPr>
          <w:rFonts w:asciiTheme="minorHAnsi" w:hAnsiTheme="minorHAnsi" w:cstheme="minorHAnsi"/>
          <w:color w:val="333333"/>
          <w:sz w:val="22"/>
          <w:szCs w:val="22"/>
        </w:rPr>
        <w:t>According to the </w:t>
      </w:r>
      <w:hyperlink r:id="rId8" w:history="1">
        <w:r w:rsidRPr="00E81438">
          <w:rPr>
            <w:rStyle w:val="Hyperlink"/>
            <w:rFonts w:asciiTheme="minorHAnsi" w:hAnsiTheme="minorHAnsi" w:cstheme="minorHAnsi"/>
            <w:b/>
            <w:bCs/>
            <w:color w:val="005691"/>
            <w:sz w:val="22"/>
            <w:szCs w:val="22"/>
          </w:rPr>
          <w:t>new law</w:t>
        </w:r>
      </w:hyperlink>
      <w:r w:rsidRPr="00E81438">
        <w:rPr>
          <w:rFonts w:asciiTheme="minorHAnsi" w:hAnsiTheme="minorHAnsi" w:cstheme="minorHAnsi"/>
          <w:color w:val="333333"/>
          <w:sz w:val="22"/>
          <w:szCs w:val="22"/>
        </w:rPr>
        <w:t>, an Act to Protect Access to Confidential Healthcare (PATCH):</w:t>
      </w:r>
    </w:p>
    <w:p w:rsidR="00E81438" w:rsidRDefault="00020EE6" w:rsidP="00E81438">
      <w:pPr>
        <w:pStyle w:val="NormalWeb"/>
        <w:numPr>
          <w:ilvl w:val="0"/>
          <w:numId w:val="6"/>
        </w:numPr>
        <w:spacing w:before="0" w:beforeAutospacing="0" w:after="0" w:afterAutospacing="0"/>
        <w:rPr>
          <w:rFonts w:asciiTheme="minorHAnsi" w:hAnsiTheme="minorHAnsi" w:cstheme="minorHAnsi"/>
          <w:color w:val="333333"/>
          <w:sz w:val="22"/>
          <w:szCs w:val="22"/>
        </w:rPr>
      </w:pPr>
      <w:r w:rsidRPr="00E81438">
        <w:rPr>
          <w:rFonts w:asciiTheme="minorHAnsi" w:hAnsiTheme="minorHAnsi" w:cstheme="minorHAnsi"/>
          <w:color w:val="333333"/>
          <w:sz w:val="22"/>
          <w:szCs w:val="22"/>
        </w:rPr>
        <w:t>Insurers must allow patients to choose their preferred method of receiving EOBs, including at an alternate address or through HIPAA-compliant electronic means</w:t>
      </w:r>
    </w:p>
    <w:p w:rsidR="00020EE6" w:rsidRPr="00E81438" w:rsidRDefault="00020EE6" w:rsidP="00E81438">
      <w:pPr>
        <w:pStyle w:val="NormalWeb"/>
        <w:numPr>
          <w:ilvl w:val="0"/>
          <w:numId w:val="6"/>
        </w:numPr>
        <w:spacing w:before="0" w:beforeAutospacing="0" w:after="0" w:afterAutospacing="0"/>
        <w:rPr>
          <w:rFonts w:asciiTheme="minorHAnsi" w:hAnsiTheme="minorHAnsi" w:cstheme="minorHAnsi"/>
          <w:color w:val="333333"/>
          <w:sz w:val="22"/>
          <w:szCs w:val="22"/>
        </w:rPr>
      </w:pPr>
      <w:r w:rsidRPr="00E81438">
        <w:rPr>
          <w:rFonts w:asciiTheme="minorHAnsi" w:hAnsiTheme="minorHAnsi" w:cstheme="minorHAnsi"/>
          <w:color w:val="333333"/>
          <w:sz w:val="22"/>
          <w:szCs w:val="22"/>
        </w:rPr>
        <w:t>EOBs will provide generic information only, such as “office visit” or “medical care,” rather than more explicit descriptions that could violate confidentiality</w:t>
      </w:r>
    </w:p>
    <w:p w:rsidR="00020EE6" w:rsidRPr="00E81438" w:rsidRDefault="00020EE6" w:rsidP="00E81438">
      <w:pPr>
        <w:pStyle w:val="NormalWeb"/>
        <w:numPr>
          <w:ilvl w:val="0"/>
          <w:numId w:val="6"/>
        </w:numPr>
        <w:spacing w:before="0" w:beforeAutospacing="0" w:after="0" w:afterAutospacing="0"/>
        <w:rPr>
          <w:rFonts w:asciiTheme="minorHAnsi" w:hAnsiTheme="minorHAnsi" w:cstheme="minorHAnsi"/>
          <w:color w:val="333333"/>
          <w:sz w:val="22"/>
          <w:szCs w:val="22"/>
        </w:rPr>
      </w:pPr>
      <w:r w:rsidRPr="00E81438">
        <w:rPr>
          <w:rFonts w:asciiTheme="minorHAnsi" w:hAnsiTheme="minorHAnsi" w:cstheme="minorHAnsi"/>
          <w:color w:val="333333"/>
          <w:sz w:val="22"/>
          <w:szCs w:val="22"/>
        </w:rPr>
        <w:t>Patients can opt out of receiving an EOB when no remaining balance exists on a claim</w:t>
      </w:r>
    </w:p>
    <w:p w:rsidR="00020EE6" w:rsidRPr="00E81438" w:rsidRDefault="00020EE6" w:rsidP="00E81438">
      <w:pPr>
        <w:pStyle w:val="NormalWeb"/>
        <w:numPr>
          <w:ilvl w:val="0"/>
          <w:numId w:val="6"/>
        </w:numPr>
        <w:spacing w:before="0" w:beforeAutospacing="0" w:after="0" w:afterAutospacing="0"/>
        <w:rPr>
          <w:rFonts w:asciiTheme="minorHAnsi" w:hAnsiTheme="minorHAnsi" w:cstheme="minorHAnsi"/>
          <w:color w:val="333333"/>
          <w:sz w:val="22"/>
          <w:szCs w:val="22"/>
        </w:rPr>
      </w:pPr>
      <w:r w:rsidRPr="00E81438">
        <w:rPr>
          <w:rFonts w:asciiTheme="minorHAnsi" w:hAnsiTheme="minorHAnsi" w:cstheme="minorHAnsi"/>
          <w:color w:val="333333"/>
          <w:sz w:val="22"/>
          <w:szCs w:val="22"/>
        </w:rPr>
        <w:t>Patients would be informed of their options to request confidential means of receiving EOBs</w:t>
      </w:r>
    </w:p>
    <w:p w:rsidR="00020EE6" w:rsidRPr="00E81438" w:rsidRDefault="00020EE6" w:rsidP="00E81438">
      <w:pPr>
        <w:pStyle w:val="NormalWeb"/>
        <w:numPr>
          <w:ilvl w:val="0"/>
          <w:numId w:val="6"/>
        </w:numPr>
        <w:spacing w:before="0" w:beforeAutospacing="0" w:after="0" w:afterAutospacing="0"/>
        <w:rPr>
          <w:rFonts w:asciiTheme="minorHAnsi" w:hAnsiTheme="minorHAnsi" w:cstheme="minorHAnsi"/>
          <w:color w:val="333333"/>
          <w:sz w:val="22"/>
          <w:szCs w:val="22"/>
        </w:rPr>
      </w:pPr>
      <w:r w:rsidRPr="00E81438">
        <w:rPr>
          <w:rFonts w:asciiTheme="minorHAnsi" w:hAnsiTheme="minorHAnsi" w:cstheme="minorHAnsi"/>
          <w:color w:val="333333"/>
          <w:sz w:val="22"/>
          <w:szCs w:val="22"/>
        </w:rPr>
        <w:t>The state Division of Insurance and Department of Public Health are required to educate providers and patients on these protections</w:t>
      </w:r>
    </w:p>
    <w:p w:rsidR="00020EE6" w:rsidRPr="00E81438" w:rsidRDefault="00020EE6" w:rsidP="00020EE6">
      <w:pPr>
        <w:pStyle w:val="NormalWeb"/>
        <w:shd w:val="clear" w:color="auto" w:fill="FFFFFF"/>
        <w:spacing w:before="225" w:beforeAutospacing="0" w:after="150" w:afterAutospacing="0" w:line="330" w:lineRule="atLeast"/>
        <w:rPr>
          <w:rFonts w:asciiTheme="minorHAnsi" w:hAnsiTheme="minorHAnsi" w:cstheme="minorHAnsi"/>
          <w:color w:val="333333"/>
          <w:sz w:val="22"/>
          <w:szCs w:val="22"/>
        </w:rPr>
      </w:pPr>
      <w:r w:rsidRPr="00E81438">
        <w:rPr>
          <w:rFonts w:asciiTheme="minorHAnsi" w:hAnsiTheme="minorHAnsi" w:cstheme="minorHAnsi"/>
          <w:color w:val="333333"/>
          <w:sz w:val="22"/>
          <w:szCs w:val="22"/>
        </w:rPr>
        <w:t>The </w:t>
      </w:r>
      <w:hyperlink r:id="rId9" w:history="1">
        <w:r w:rsidRPr="00E81438">
          <w:rPr>
            <w:rStyle w:val="Hyperlink"/>
            <w:rFonts w:asciiTheme="minorHAnsi" w:hAnsiTheme="minorHAnsi" w:cstheme="minorHAnsi"/>
            <w:b/>
            <w:bCs/>
            <w:color w:val="005691"/>
            <w:sz w:val="22"/>
            <w:szCs w:val="22"/>
          </w:rPr>
          <w:t>bill (S 2296)</w:t>
        </w:r>
      </w:hyperlink>
      <w:r w:rsidRPr="00E81438">
        <w:rPr>
          <w:rFonts w:asciiTheme="minorHAnsi" w:hAnsiTheme="minorHAnsi" w:cstheme="minorHAnsi"/>
          <w:color w:val="333333"/>
          <w:sz w:val="22"/>
          <w:szCs w:val="22"/>
        </w:rPr>
        <w:t xml:space="preserve"> that became law </w:t>
      </w:r>
      <w:proofErr w:type="gramStart"/>
      <w:r w:rsidRPr="00E81438">
        <w:rPr>
          <w:rFonts w:asciiTheme="minorHAnsi" w:hAnsiTheme="minorHAnsi" w:cstheme="minorHAnsi"/>
          <w:color w:val="333333"/>
          <w:sz w:val="22"/>
          <w:szCs w:val="22"/>
        </w:rPr>
        <w:t>was sponsored</w:t>
      </w:r>
      <w:proofErr w:type="gramEnd"/>
      <w:r w:rsidRPr="00E81438">
        <w:rPr>
          <w:rFonts w:asciiTheme="minorHAnsi" w:hAnsiTheme="minorHAnsi" w:cstheme="minorHAnsi"/>
          <w:color w:val="333333"/>
          <w:sz w:val="22"/>
          <w:szCs w:val="22"/>
        </w:rPr>
        <w:t xml:space="preserve"> by state Sen. Karen </w:t>
      </w:r>
      <w:proofErr w:type="spellStart"/>
      <w:r w:rsidRPr="00E81438">
        <w:rPr>
          <w:rFonts w:asciiTheme="minorHAnsi" w:hAnsiTheme="minorHAnsi" w:cstheme="minorHAnsi"/>
          <w:color w:val="333333"/>
          <w:sz w:val="22"/>
          <w:szCs w:val="22"/>
        </w:rPr>
        <w:t>Spilka</w:t>
      </w:r>
      <w:proofErr w:type="spellEnd"/>
      <w:r w:rsidRPr="00E81438">
        <w:rPr>
          <w:rFonts w:asciiTheme="minorHAnsi" w:hAnsiTheme="minorHAnsi" w:cstheme="minorHAnsi"/>
          <w:color w:val="333333"/>
          <w:sz w:val="22"/>
          <w:szCs w:val="22"/>
        </w:rPr>
        <w:t xml:space="preserve"> and state Rep. Kate Hogan.</w:t>
      </w:r>
    </w:p>
    <w:p w:rsidR="00713E3C" w:rsidRPr="00E81438" w:rsidRDefault="00020EE6" w:rsidP="0079465A">
      <w:pPr>
        <w:pStyle w:val="NormalWeb"/>
        <w:shd w:val="clear" w:color="auto" w:fill="FFFFFF"/>
        <w:spacing w:before="225" w:beforeAutospacing="0" w:after="150" w:afterAutospacing="0" w:line="330" w:lineRule="atLeast"/>
        <w:rPr>
          <w:rFonts w:asciiTheme="minorHAnsi" w:hAnsiTheme="minorHAnsi" w:cstheme="minorHAnsi"/>
          <w:sz w:val="22"/>
          <w:szCs w:val="22"/>
        </w:rPr>
      </w:pPr>
      <w:r w:rsidRPr="00E81438">
        <w:rPr>
          <w:rFonts w:asciiTheme="minorHAnsi" w:hAnsiTheme="minorHAnsi" w:cstheme="minorHAnsi"/>
          <w:color w:val="333333"/>
          <w:sz w:val="22"/>
          <w:szCs w:val="22"/>
        </w:rPr>
        <w:t>“The PATCH Act provides everyone who is a patient the privacy they need to feel comfortable seeking healthcare,” </w:t>
      </w:r>
      <w:hyperlink r:id="rId10" w:history="1">
        <w:r w:rsidRPr="00E81438">
          <w:rPr>
            <w:rStyle w:val="Hyperlink"/>
            <w:rFonts w:asciiTheme="minorHAnsi" w:hAnsiTheme="minorHAnsi" w:cstheme="minorHAnsi"/>
            <w:b/>
            <w:bCs/>
            <w:color w:val="005691"/>
            <w:sz w:val="22"/>
            <w:szCs w:val="22"/>
          </w:rPr>
          <w:t>said</w:t>
        </w:r>
      </w:hyperlink>
      <w:r w:rsidRPr="00E81438">
        <w:rPr>
          <w:rFonts w:asciiTheme="minorHAnsi" w:hAnsiTheme="minorHAnsi" w:cstheme="minorHAnsi"/>
          <w:color w:val="333333"/>
          <w:sz w:val="22"/>
          <w:szCs w:val="22"/>
        </w:rPr>
        <w:t xml:space="preserve"> Hogan, who is </w:t>
      </w:r>
      <w:proofErr w:type="gramStart"/>
      <w:r w:rsidRPr="00E81438">
        <w:rPr>
          <w:rFonts w:asciiTheme="minorHAnsi" w:hAnsiTheme="minorHAnsi" w:cstheme="minorHAnsi"/>
          <w:color w:val="333333"/>
          <w:sz w:val="22"/>
          <w:szCs w:val="22"/>
        </w:rPr>
        <w:t>chairman</w:t>
      </w:r>
      <w:proofErr w:type="gramEnd"/>
      <w:r w:rsidRPr="00E81438">
        <w:rPr>
          <w:rFonts w:asciiTheme="minorHAnsi" w:hAnsiTheme="minorHAnsi" w:cstheme="minorHAnsi"/>
          <w:color w:val="333333"/>
          <w:sz w:val="22"/>
          <w:szCs w:val="22"/>
        </w:rPr>
        <w:t xml:space="preserve"> of the Joint Committee on Public Health.</w:t>
      </w:r>
      <w:sdt>
        <w:sdtPr>
          <w:rPr>
            <w:rFonts w:asciiTheme="minorHAnsi" w:hAnsiTheme="minorHAnsi" w:cstheme="minorHAnsi"/>
            <w:sz w:val="22"/>
            <w:szCs w:val="22"/>
          </w:rPr>
          <w:id w:val="1170059223"/>
          <w:citation/>
        </w:sdtPr>
        <w:sdtContent>
          <w:r w:rsidR="00713E3C" w:rsidRPr="00E81438">
            <w:rPr>
              <w:rFonts w:asciiTheme="minorHAnsi" w:hAnsiTheme="minorHAnsi" w:cstheme="minorHAnsi"/>
              <w:sz w:val="22"/>
              <w:szCs w:val="22"/>
            </w:rPr>
            <w:fldChar w:fldCharType="begin"/>
          </w:r>
          <w:r w:rsidR="00713E3C" w:rsidRPr="00E81438">
            <w:rPr>
              <w:rFonts w:asciiTheme="minorHAnsi" w:hAnsiTheme="minorHAnsi" w:cstheme="minorHAnsi"/>
              <w:sz w:val="22"/>
              <w:szCs w:val="22"/>
            </w:rPr>
            <w:instrText xml:space="preserve"> CITATION Fre18 \l 1033 </w:instrText>
          </w:r>
          <w:r w:rsidR="00713E3C" w:rsidRPr="00E81438">
            <w:rPr>
              <w:rFonts w:asciiTheme="minorHAnsi" w:hAnsiTheme="minorHAnsi" w:cstheme="minorHAnsi"/>
              <w:sz w:val="22"/>
              <w:szCs w:val="22"/>
            </w:rPr>
            <w:fldChar w:fldCharType="separate"/>
          </w:r>
          <w:r w:rsidR="00713E3C" w:rsidRPr="00E81438">
            <w:rPr>
              <w:rFonts w:asciiTheme="minorHAnsi" w:hAnsiTheme="minorHAnsi" w:cstheme="minorHAnsi"/>
              <w:noProof/>
              <w:sz w:val="22"/>
              <w:szCs w:val="22"/>
            </w:rPr>
            <w:t>(Donovan, 2018)</w:t>
          </w:r>
          <w:r w:rsidR="00713E3C" w:rsidRPr="00E81438">
            <w:rPr>
              <w:rFonts w:asciiTheme="minorHAnsi" w:hAnsiTheme="minorHAnsi" w:cstheme="minorHAnsi"/>
              <w:sz w:val="22"/>
              <w:szCs w:val="22"/>
            </w:rPr>
            <w:fldChar w:fldCharType="end"/>
          </w:r>
        </w:sdtContent>
      </w:sdt>
    </w:p>
    <w:p w:rsidR="0079465A" w:rsidRDefault="0079465A" w:rsidP="00020EE6">
      <w:pPr>
        <w:rPr>
          <w:rFonts w:cstheme="minorHAnsi"/>
        </w:rPr>
      </w:pPr>
    </w:p>
    <w:p w:rsidR="0079465A" w:rsidRDefault="0079465A" w:rsidP="00020EE6">
      <w:pPr>
        <w:rPr>
          <w:rFonts w:cstheme="minorHAnsi"/>
        </w:rPr>
      </w:pPr>
    </w:p>
    <w:p w:rsidR="0079465A" w:rsidRDefault="0079465A" w:rsidP="00020EE6">
      <w:pPr>
        <w:rPr>
          <w:rFonts w:cstheme="minorHAnsi"/>
        </w:rPr>
      </w:pPr>
    </w:p>
    <w:p w:rsidR="00563F59" w:rsidRPr="00E81438" w:rsidRDefault="00563F59" w:rsidP="00563F59">
      <w:pPr>
        <w:rPr>
          <w:rFonts w:cstheme="minorHAnsi"/>
        </w:rPr>
      </w:pPr>
      <w:r w:rsidRPr="00E81438">
        <w:rPr>
          <w:rFonts w:cstheme="minorHAnsi"/>
        </w:rPr>
        <w:t>N</w:t>
      </w:r>
      <w:r w:rsidR="0079465A">
        <w:rPr>
          <w:rFonts w:cstheme="minorHAnsi"/>
        </w:rPr>
        <w:t xml:space="preserve">ew </w:t>
      </w:r>
      <w:r w:rsidRPr="00E81438">
        <w:rPr>
          <w:rFonts w:cstheme="minorHAnsi"/>
        </w:rPr>
        <w:t>Y</w:t>
      </w:r>
      <w:r w:rsidR="0079465A">
        <w:rPr>
          <w:rFonts w:cstheme="minorHAnsi"/>
        </w:rPr>
        <w:t>ork</w:t>
      </w:r>
    </w:p>
    <w:p w:rsidR="0079465A" w:rsidRPr="0079465A" w:rsidRDefault="00563F59" w:rsidP="0079465A">
      <w:pPr>
        <w:pStyle w:val="ListParagraph"/>
        <w:numPr>
          <w:ilvl w:val="0"/>
          <w:numId w:val="11"/>
        </w:numPr>
        <w:rPr>
          <w:rFonts w:cstheme="minorHAnsi"/>
          <w:color w:val="555555"/>
          <w:shd w:val="clear" w:color="auto" w:fill="FFFFFF"/>
        </w:rPr>
      </w:pPr>
      <w:proofErr w:type="gramStart"/>
      <w:r w:rsidRPr="0079465A">
        <w:rPr>
          <w:rFonts w:cstheme="minorHAnsi"/>
        </w:rPr>
        <w:t>statute provides the following: Except on demand by the insured or subscriber, insurers, including health maintenance organizations…shall not be required to provide the insured or subscriber with an explanation of benefits form in any case where the service is provided by a facility or provider participating in the insurer’s program and full reimbursement for the claim, other than a co-payment that is ordinarily paid directly to the provider at the time the service is rendered, is paid by the insurer directly to the participating facility or provider.59 (N.Y. I</w:t>
      </w:r>
      <w:r w:rsidR="0079465A">
        <w:rPr>
          <w:rFonts w:cstheme="minorHAnsi"/>
        </w:rPr>
        <w:t xml:space="preserve">ns. Law § 3234 (Consol. 2011). </w:t>
      </w:r>
      <w:sdt>
        <w:sdtPr>
          <w:rPr>
            <w:rFonts w:cstheme="minorHAnsi"/>
          </w:rPr>
          <w:id w:val="-101954974"/>
          <w:citation/>
        </w:sdtPr>
        <w:sdtContent>
          <w:r w:rsidR="0079465A">
            <w:rPr>
              <w:rFonts w:cstheme="minorHAnsi"/>
            </w:rPr>
            <w:fldChar w:fldCharType="begin"/>
          </w:r>
          <w:r w:rsidR="0079465A">
            <w:rPr>
              <w:rFonts w:cstheme="minorHAnsi"/>
            </w:rPr>
            <w:instrText xml:space="preserve"> CITATION Abily \l 1033 </w:instrText>
          </w:r>
          <w:r w:rsidR="0079465A">
            <w:rPr>
              <w:rFonts w:cstheme="minorHAnsi"/>
            </w:rPr>
            <w:fldChar w:fldCharType="separate"/>
          </w:r>
          <w:proofErr w:type="gramEnd"/>
          <w:r w:rsidR="0079465A" w:rsidRPr="0079465A">
            <w:rPr>
              <w:rFonts w:cstheme="minorHAnsi"/>
              <w:noProof/>
            </w:rPr>
            <w:t>(Abigail English, July)</w:t>
          </w:r>
          <w:r w:rsidR="0079465A">
            <w:rPr>
              <w:rFonts w:cstheme="minorHAnsi"/>
            </w:rPr>
            <w:fldChar w:fldCharType="end"/>
          </w:r>
        </w:sdtContent>
      </w:sdt>
    </w:p>
    <w:p w:rsidR="0079465A" w:rsidRPr="0079465A" w:rsidRDefault="00563F59" w:rsidP="0079465A">
      <w:pPr>
        <w:pStyle w:val="ListParagraph"/>
        <w:numPr>
          <w:ilvl w:val="0"/>
          <w:numId w:val="11"/>
        </w:numPr>
        <w:rPr>
          <w:rFonts w:cstheme="minorHAnsi"/>
          <w:color w:val="555555"/>
          <w:shd w:val="clear" w:color="auto" w:fill="FFFFFF"/>
        </w:rPr>
      </w:pPr>
      <w:r w:rsidRPr="0079465A">
        <w:rPr>
          <w:rFonts w:cstheme="minorHAnsi"/>
        </w:rPr>
        <w:t xml:space="preserve">Another approach is to send EOBs for sensitive services only to the patient, using whichever address or means of communication the patient specifies, as provided for by HIPAA. </w:t>
      </w:r>
      <w:sdt>
        <w:sdtPr>
          <w:rPr>
            <w:rFonts w:cstheme="minorHAnsi"/>
          </w:rPr>
          <w:id w:val="1413438749"/>
          <w:citation/>
        </w:sdtPr>
        <w:sdtContent>
          <w:r w:rsidR="0079465A">
            <w:rPr>
              <w:rFonts w:cstheme="minorHAnsi"/>
            </w:rPr>
            <w:fldChar w:fldCharType="begin"/>
          </w:r>
          <w:r w:rsidR="0079465A">
            <w:rPr>
              <w:rFonts w:cstheme="minorHAnsi"/>
            </w:rPr>
            <w:instrText xml:space="preserve"> CITATION Abily \l 1033 </w:instrText>
          </w:r>
          <w:r w:rsidR="0079465A">
            <w:rPr>
              <w:rFonts w:cstheme="minorHAnsi"/>
            </w:rPr>
            <w:fldChar w:fldCharType="separate"/>
          </w:r>
          <w:r w:rsidR="0079465A" w:rsidRPr="0079465A">
            <w:rPr>
              <w:rFonts w:cstheme="minorHAnsi"/>
              <w:noProof/>
            </w:rPr>
            <w:t>(Abigail English, July)</w:t>
          </w:r>
          <w:r w:rsidR="0079465A">
            <w:rPr>
              <w:rFonts w:cstheme="minorHAnsi"/>
            </w:rPr>
            <w:fldChar w:fldCharType="end"/>
          </w:r>
        </w:sdtContent>
      </w:sdt>
    </w:p>
    <w:p w:rsidR="00563F59" w:rsidRPr="0079465A" w:rsidRDefault="00563F59" w:rsidP="0079465A">
      <w:pPr>
        <w:pStyle w:val="ListParagraph"/>
        <w:numPr>
          <w:ilvl w:val="0"/>
          <w:numId w:val="11"/>
        </w:numPr>
        <w:rPr>
          <w:rFonts w:cstheme="minorHAnsi"/>
          <w:color w:val="555555"/>
          <w:shd w:val="clear" w:color="auto" w:fill="FFFFFF"/>
        </w:rPr>
      </w:pPr>
      <w:r w:rsidRPr="0079465A">
        <w:rPr>
          <w:rFonts w:cstheme="minorHAnsi"/>
        </w:rPr>
        <w:t>New York also have specified that these forms can be sent to the patient directly.*</w:t>
      </w:r>
      <w:sdt>
        <w:sdtPr>
          <w:rPr>
            <w:color w:val="555555"/>
            <w:shd w:val="clear" w:color="auto" w:fill="FFFFFF"/>
          </w:rPr>
          <w:id w:val="-459813372"/>
          <w:citation/>
        </w:sdtPr>
        <w:sdtContent>
          <w:r w:rsidRPr="0079465A">
            <w:rPr>
              <w:rFonts w:cstheme="minorHAnsi"/>
              <w:color w:val="555555"/>
              <w:shd w:val="clear" w:color="auto" w:fill="FFFFFF"/>
            </w:rPr>
            <w:fldChar w:fldCharType="begin"/>
          </w:r>
          <w:r w:rsidRPr="0079465A">
            <w:rPr>
              <w:rFonts w:cstheme="minorHAnsi"/>
            </w:rPr>
            <w:instrText xml:space="preserve"> CITATION Abily \l 1033 </w:instrText>
          </w:r>
          <w:r w:rsidRPr="0079465A">
            <w:rPr>
              <w:rFonts w:cstheme="minorHAnsi"/>
              <w:color w:val="555555"/>
              <w:shd w:val="clear" w:color="auto" w:fill="FFFFFF"/>
            </w:rPr>
            <w:fldChar w:fldCharType="separate"/>
          </w:r>
          <w:r w:rsidRPr="0079465A">
            <w:rPr>
              <w:rFonts w:cstheme="minorHAnsi"/>
              <w:noProof/>
            </w:rPr>
            <w:t>(Abigail English, July)</w:t>
          </w:r>
          <w:r w:rsidRPr="0079465A">
            <w:rPr>
              <w:rFonts w:cstheme="minorHAnsi"/>
              <w:color w:val="555555"/>
              <w:shd w:val="clear" w:color="auto" w:fill="FFFFFF"/>
            </w:rPr>
            <w:fldChar w:fldCharType="end"/>
          </w:r>
        </w:sdtContent>
      </w:sdt>
    </w:p>
    <w:p w:rsidR="00817C17" w:rsidRPr="00817C17" w:rsidRDefault="00817C17" w:rsidP="00817C17">
      <w:pPr>
        <w:pStyle w:val="ListParagraph"/>
        <w:numPr>
          <w:ilvl w:val="0"/>
          <w:numId w:val="11"/>
        </w:numPr>
        <w:rPr>
          <w:rFonts w:cstheme="minorHAnsi"/>
        </w:rPr>
      </w:pPr>
      <w:r w:rsidRPr="00817C17">
        <w:rPr>
          <w:rFonts w:cstheme="minorHAnsi"/>
        </w:rPr>
        <w:t xml:space="preserve">State Department of Health’s Office of Health Insurance Programs sent out a policy memo in 2016 outlining the procedures for the state’s Medicaid managed care plans to comply with confidentiality protections for minors who are enabled under state statute consent to their own healthcare. </w:t>
      </w:r>
      <w:sdt>
        <w:sdtPr>
          <w:id w:val="-1761367855"/>
          <w:citation/>
        </w:sdtPr>
        <w:sdtContent>
          <w:r w:rsidRPr="00817C17">
            <w:rPr>
              <w:rFonts w:cstheme="minorHAnsi"/>
            </w:rPr>
            <w:fldChar w:fldCharType="begin"/>
          </w:r>
          <w:r w:rsidRPr="00817C17">
            <w:rPr>
              <w:rFonts w:cstheme="minorHAnsi"/>
            </w:rPr>
            <w:instrText xml:space="preserve"> CITATION AST18 \l 1033 </w:instrText>
          </w:r>
          <w:r w:rsidRPr="00817C17">
            <w:rPr>
              <w:rFonts w:cstheme="minorHAnsi"/>
            </w:rPr>
            <w:fldChar w:fldCharType="separate"/>
          </w:r>
          <w:r w:rsidRPr="00817C17">
            <w:rPr>
              <w:rFonts w:cstheme="minorHAnsi"/>
              <w:noProof/>
            </w:rPr>
            <w:t>(ASTHO, 2018)</w:t>
          </w:r>
          <w:r w:rsidRPr="00817C17">
            <w:rPr>
              <w:rFonts w:cstheme="minorHAnsi"/>
            </w:rPr>
            <w:fldChar w:fldCharType="end"/>
          </w:r>
        </w:sdtContent>
      </w:sdt>
    </w:p>
    <w:p w:rsidR="0079465A" w:rsidRPr="0079465A" w:rsidRDefault="0079465A" w:rsidP="0079465A">
      <w:pPr>
        <w:pStyle w:val="ListParagraph"/>
        <w:numPr>
          <w:ilvl w:val="0"/>
          <w:numId w:val="11"/>
        </w:numPr>
        <w:rPr>
          <w:rFonts w:cstheme="minorHAnsi"/>
          <w:color w:val="555555"/>
          <w:shd w:val="clear" w:color="auto" w:fill="FFFFFF"/>
        </w:rPr>
      </w:pPr>
    </w:p>
    <w:p w:rsidR="0079465A" w:rsidRDefault="0079465A" w:rsidP="0079465A">
      <w:pPr>
        <w:rPr>
          <w:rFonts w:cstheme="minorHAnsi"/>
        </w:rPr>
      </w:pPr>
      <w:r w:rsidRPr="0079465A">
        <w:rPr>
          <w:rFonts w:cstheme="minorHAnsi"/>
        </w:rPr>
        <w:t xml:space="preserve">Wisconsin </w:t>
      </w:r>
    </w:p>
    <w:p w:rsidR="0079465A" w:rsidRPr="0079465A" w:rsidRDefault="0079465A" w:rsidP="0079465A">
      <w:pPr>
        <w:pStyle w:val="ListParagraph"/>
        <w:numPr>
          <w:ilvl w:val="0"/>
          <w:numId w:val="12"/>
        </w:numPr>
        <w:rPr>
          <w:rFonts w:cstheme="minorHAnsi"/>
          <w:color w:val="555555"/>
          <w:shd w:val="clear" w:color="auto" w:fill="FFFFFF"/>
        </w:rPr>
      </w:pPr>
      <w:proofErr w:type="gramStart"/>
      <w:r w:rsidRPr="0079465A">
        <w:rPr>
          <w:rFonts w:cstheme="minorHAnsi"/>
        </w:rPr>
        <w:t>also</w:t>
      </w:r>
      <w:proofErr w:type="gramEnd"/>
      <w:r w:rsidRPr="0079465A">
        <w:rPr>
          <w:rFonts w:cstheme="minorHAnsi"/>
        </w:rPr>
        <w:t xml:space="preserve"> have specified that these forms can be sent to the patient directly.</w:t>
      </w:r>
      <w:sdt>
        <w:sdtPr>
          <w:rPr>
            <w:color w:val="555555"/>
            <w:shd w:val="clear" w:color="auto" w:fill="FFFFFF"/>
          </w:rPr>
          <w:id w:val="-975755999"/>
          <w:citation/>
        </w:sdtPr>
        <w:sdtContent>
          <w:r w:rsidRPr="0079465A">
            <w:rPr>
              <w:rFonts w:cstheme="minorHAnsi"/>
              <w:color w:val="555555"/>
              <w:shd w:val="clear" w:color="auto" w:fill="FFFFFF"/>
            </w:rPr>
            <w:fldChar w:fldCharType="begin"/>
          </w:r>
          <w:r w:rsidRPr="0079465A">
            <w:rPr>
              <w:rFonts w:cstheme="minorHAnsi"/>
            </w:rPr>
            <w:instrText xml:space="preserve"> CITATION Abily \l 1033 </w:instrText>
          </w:r>
          <w:r w:rsidRPr="0079465A">
            <w:rPr>
              <w:rFonts w:cstheme="minorHAnsi"/>
              <w:color w:val="555555"/>
              <w:shd w:val="clear" w:color="auto" w:fill="FFFFFF"/>
            </w:rPr>
            <w:fldChar w:fldCharType="separate"/>
          </w:r>
          <w:r w:rsidRPr="0079465A">
            <w:rPr>
              <w:rFonts w:cstheme="minorHAnsi"/>
              <w:noProof/>
            </w:rPr>
            <w:t>(Abigail English, July)</w:t>
          </w:r>
          <w:r w:rsidRPr="0079465A">
            <w:rPr>
              <w:rFonts w:cstheme="minorHAnsi"/>
              <w:color w:val="555555"/>
              <w:shd w:val="clear" w:color="auto" w:fill="FFFFFF"/>
            </w:rPr>
            <w:fldChar w:fldCharType="end"/>
          </w:r>
        </w:sdtContent>
      </w:sdt>
    </w:p>
    <w:p w:rsidR="0079465A" w:rsidRPr="00817C17" w:rsidRDefault="00817C17" w:rsidP="0079465A">
      <w:pPr>
        <w:rPr>
          <w:rFonts w:cstheme="minorHAnsi"/>
          <w:shd w:val="clear" w:color="auto" w:fill="FFFFFF"/>
        </w:rPr>
      </w:pPr>
      <w:r w:rsidRPr="00817C17">
        <w:rPr>
          <w:rFonts w:cstheme="minorHAnsi"/>
          <w:shd w:val="clear" w:color="auto" w:fill="FFFFFF"/>
        </w:rPr>
        <w:t>Illinois</w:t>
      </w:r>
    </w:p>
    <w:p w:rsidR="00817C17" w:rsidRDefault="00817C17" w:rsidP="00817C17">
      <w:pPr>
        <w:pStyle w:val="ListParagraph"/>
        <w:numPr>
          <w:ilvl w:val="0"/>
          <w:numId w:val="12"/>
        </w:numPr>
        <w:rPr>
          <w:rFonts w:cstheme="minorHAnsi"/>
        </w:rPr>
      </w:pPr>
      <w:proofErr w:type="gramStart"/>
      <w:r>
        <w:rPr>
          <w:rFonts w:cstheme="minorHAnsi"/>
        </w:rPr>
        <w:t>f</w:t>
      </w:r>
      <w:r w:rsidR="00746098" w:rsidRPr="00817C17">
        <w:rPr>
          <w:rFonts w:cstheme="minorHAnsi"/>
        </w:rPr>
        <w:t>ocused</w:t>
      </w:r>
      <w:proofErr w:type="gramEnd"/>
      <w:r w:rsidR="00746098" w:rsidRPr="00817C17">
        <w:rPr>
          <w:rFonts w:cstheme="minorHAnsi"/>
        </w:rPr>
        <w:t xml:space="preserve"> on confidentiality in Medicaid managed care. </w:t>
      </w:r>
      <w:sdt>
        <w:sdtPr>
          <w:rPr>
            <w:rFonts w:cstheme="minorHAnsi"/>
          </w:rPr>
          <w:id w:val="1700360429"/>
          <w:citation/>
        </w:sdtPr>
        <w:sdtContent>
          <w:r>
            <w:rPr>
              <w:rFonts w:cstheme="minorHAnsi"/>
            </w:rPr>
            <w:fldChar w:fldCharType="begin"/>
          </w:r>
          <w:r>
            <w:rPr>
              <w:rFonts w:cstheme="minorHAnsi"/>
            </w:rPr>
            <w:instrText xml:space="preserve"> CITATION AST18 \l 1033 </w:instrText>
          </w:r>
          <w:r>
            <w:rPr>
              <w:rFonts w:cstheme="minorHAnsi"/>
            </w:rPr>
            <w:fldChar w:fldCharType="separate"/>
          </w:r>
          <w:r w:rsidRPr="00817C17">
            <w:rPr>
              <w:rFonts w:cstheme="minorHAnsi"/>
              <w:noProof/>
            </w:rPr>
            <w:t>(ASTHO, 2018)</w:t>
          </w:r>
          <w:r>
            <w:rPr>
              <w:rFonts w:cstheme="minorHAnsi"/>
            </w:rPr>
            <w:fldChar w:fldCharType="end"/>
          </w:r>
        </w:sdtContent>
      </w:sdt>
    </w:p>
    <w:p w:rsidR="00746098" w:rsidRPr="00817C17" w:rsidRDefault="00746098" w:rsidP="00817C17">
      <w:pPr>
        <w:pStyle w:val="ListParagraph"/>
        <w:numPr>
          <w:ilvl w:val="0"/>
          <w:numId w:val="12"/>
        </w:numPr>
        <w:rPr>
          <w:rFonts w:cstheme="minorHAnsi"/>
        </w:rPr>
      </w:pPr>
      <w:r w:rsidRPr="00817C17">
        <w:rPr>
          <w:rFonts w:cstheme="minorHAnsi"/>
        </w:rPr>
        <w:t xml:space="preserve">General Assembly amended its law (305 Ill. Comp. Stat. 5/5-30) in 2015 to protect against disclosure of information, including in billing and EOBs, about sensitive healthcare services. State officials are now working to ensure this language is included in managed care contracts. </w:t>
      </w:r>
    </w:p>
    <w:p w:rsidR="0079465A" w:rsidRDefault="0079465A" w:rsidP="0079465A">
      <w:pPr>
        <w:rPr>
          <w:rFonts w:cstheme="minorHAnsi"/>
        </w:rPr>
      </w:pPr>
      <w:r>
        <w:rPr>
          <w:rFonts w:cstheme="minorHAnsi"/>
        </w:rPr>
        <w:t>Minnesota</w:t>
      </w:r>
    </w:p>
    <w:p w:rsidR="0079465A" w:rsidRPr="0079465A" w:rsidRDefault="0079465A" w:rsidP="0079465A">
      <w:pPr>
        <w:pStyle w:val="ListParagraph"/>
        <w:numPr>
          <w:ilvl w:val="0"/>
          <w:numId w:val="11"/>
        </w:numPr>
        <w:rPr>
          <w:rFonts w:cstheme="minorHAnsi"/>
        </w:rPr>
      </w:pPr>
      <w:r w:rsidRPr="0079465A">
        <w:rPr>
          <w:rFonts w:cstheme="minorHAnsi"/>
        </w:rPr>
        <w:t xml:space="preserve">prohibits Medicaid Managed Care Plans from sending EOBs for ‘sensitive services’ and several other states suppress EOBs for the provision of specific sensitive services, such as minors seeking care and treatment of sexually transmitted diseases (Florida, Connecticut and Delaware). </w:t>
      </w:r>
      <w:sdt>
        <w:sdtPr>
          <w:id w:val="-1168329036"/>
          <w:citation/>
        </w:sdtPr>
        <w:sdtContent>
          <w:r w:rsidRPr="0079465A">
            <w:rPr>
              <w:rFonts w:cstheme="minorHAnsi"/>
            </w:rPr>
            <w:fldChar w:fldCharType="begin"/>
          </w:r>
          <w:r w:rsidRPr="0079465A">
            <w:rPr>
              <w:rFonts w:cstheme="minorHAnsi"/>
            </w:rPr>
            <w:instrText xml:space="preserve"> CITATION Sch14 \l 1033 </w:instrText>
          </w:r>
          <w:r w:rsidRPr="0079465A">
            <w:rPr>
              <w:rFonts w:cstheme="minorHAnsi"/>
            </w:rPr>
            <w:fldChar w:fldCharType="separate"/>
          </w:r>
          <w:r w:rsidRPr="0079465A">
            <w:rPr>
              <w:rFonts w:cstheme="minorHAnsi"/>
              <w:noProof/>
            </w:rPr>
            <w:t>(Schuyler Center for Analysis and Advocacy, 2014)</w:t>
          </w:r>
          <w:r w:rsidRPr="0079465A">
            <w:rPr>
              <w:rFonts w:cstheme="minorHAnsi"/>
            </w:rPr>
            <w:fldChar w:fldCharType="end"/>
          </w:r>
        </w:sdtContent>
      </w:sdt>
    </w:p>
    <w:p w:rsidR="00563F59" w:rsidRDefault="00563F59" w:rsidP="00020EE6">
      <w:pPr>
        <w:rPr>
          <w:rFonts w:cstheme="minorHAnsi"/>
        </w:rPr>
      </w:pPr>
    </w:p>
    <w:p w:rsidR="00020EE6" w:rsidRPr="00E81438" w:rsidRDefault="00020EE6" w:rsidP="00020EE6">
      <w:pPr>
        <w:rPr>
          <w:rFonts w:cstheme="minorHAnsi"/>
        </w:rPr>
      </w:pPr>
      <w:r w:rsidRPr="00E81438">
        <w:rPr>
          <w:rFonts w:cstheme="minorHAnsi"/>
        </w:rPr>
        <w:lastRenderedPageBreak/>
        <w:t>C</w:t>
      </w:r>
      <w:r w:rsidR="00817C17">
        <w:rPr>
          <w:rFonts w:cstheme="minorHAnsi"/>
        </w:rPr>
        <w:t>onnecticut</w:t>
      </w:r>
      <w:r w:rsidRPr="00E81438">
        <w:rPr>
          <w:rFonts w:cstheme="minorHAnsi"/>
        </w:rPr>
        <w:t>, D</w:t>
      </w:r>
      <w:r w:rsidR="00817C17">
        <w:rPr>
          <w:rFonts w:cstheme="minorHAnsi"/>
        </w:rPr>
        <w:t>elaware</w:t>
      </w:r>
      <w:r w:rsidRPr="00E81438">
        <w:rPr>
          <w:rFonts w:cstheme="minorHAnsi"/>
        </w:rPr>
        <w:t>, F</w:t>
      </w:r>
      <w:r w:rsidR="00817C17">
        <w:rPr>
          <w:rFonts w:cstheme="minorHAnsi"/>
        </w:rPr>
        <w:t>lorida</w:t>
      </w:r>
    </w:p>
    <w:p w:rsidR="00020EE6" w:rsidRPr="00E81438" w:rsidRDefault="00020EE6" w:rsidP="00020EE6">
      <w:pPr>
        <w:rPr>
          <w:rFonts w:cstheme="minorHAnsi"/>
        </w:rPr>
      </w:pPr>
      <w:r w:rsidRPr="00E81438">
        <w:rPr>
          <w:rFonts w:cstheme="minorHAnsi"/>
        </w:rPr>
        <w:t>Connecticut, Delaware and Florida include in their laws authorizing minors to consent for their own diagnosis and treatment for STIs that the care must be confidential, including in relation to sending of a bill. However, these statutes do not refer to the insurance claims process.</w:t>
      </w:r>
      <w:r w:rsidR="00817C17">
        <w:rPr>
          <w:rFonts w:cstheme="minorHAnsi"/>
        </w:rPr>
        <w:t xml:space="preserve"> </w:t>
      </w:r>
      <w:sdt>
        <w:sdtPr>
          <w:rPr>
            <w:rFonts w:cstheme="minorHAnsi"/>
          </w:rPr>
          <w:id w:val="1525290302"/>
          <w:citation/>
        </w:sdtPr>
        <w:sdtContent>
          <w:r w:rsidR="00817C17">
            <w:rPr>
              <w:rFonts w:cstheme="minorHAnsi"/>
            </w:rPr>
            <w:fldChar w:fldCharType="begin"/>
          </w:r>
          <w:r w:rsidR="00817C17">
            <w:rPr>
              <w:rFonts w:cstheme="minorHAnsi"/>
            </w:rPr>
            <w:instrText xml:space="preserve"> CITATION Abily \l 1033 </w:instrText>
          </w:r>
          <w:r w:rsidR="00817C17">
            <w:rPr>
              <w:rFonts w:cstheme="minorHAnsi"/>
            </w:rPr>
            <w:fldChar w:fldCharType="separate"/>
          </w:r>
          <w:r w:rsidR="00817C17" w:rsidRPr="00817C17">
            <w:rPr>
              <w:rFonts w:cstheme="minorHAnsi"/>
              <w:noProof/>
            </w:rPr>
            <w:t>(Abigail English, July)</w:t>
          </w:r>
          <w:r w:rsidR="00817C17">
            <w:rPr>
              <w:rFonts w:cstheme="minorHAnsi"/>
            </w:rPr>
            <w:fldChar w:fldCharType="end"/>
          </w:r>
        </w:sdtContent>
      </w:sdt>
    </w:p>
    <w:p w:rsidR="00020EE6" w:rsidRPr="00E81438" w:rsidRDefault="00020EE6" w:rsidP="00020EE6">
      <w:pPr>
        <w:rPr>
          <w:rFonts w:cstheme="minorHAnsi"/>
        </w:rPr>
      </w:pPr>
      <w:r w:rsidRPr="00E81438">
        <w:rPr>
          <w:rFonts w:cstheme="minorHAnsi"/>
        </w:rPr>
        <w:t>C</w:t>
      </w:r>
      <w:r w:rsidR="00817C17">
        <w:rPr>
          <w:rFonts w:cstheme="minorHAnsi"/>
        </w:rPr>
        <w:t>onnecticut</w:t>
      </w:r>
    </w:p>
    <w:p w:rsidR="00020EE6" w:rsidRPr="00817C17" w:rsidRDefault="00020EE6" w:rsidP="00817C17">
      <w:pPr>
        <w:pStyle w:val="ListParagraph"/>
        <w:numPr>
          <w:ilvl w:val="0"/>
          <w:numId w:val="11"/>
        </w:numPr>
        <w:rPr>
          <w:rFonts w:cstheme="minorHAnsi"/>
        </w:rPr>
      </w:pPr>
      <w:r w:rsidRPr="00817C17">
        <w:rPr>
          <w:rFonts w:cstheme="minorHAnsi"/>
        </w:rPr>
        <w:t>The fact of consultation, examination or treatment of a minor under the provisions of this section shall be confidential and shall not be divulged by the facility or physician, including the sending of a bill for the services to any person other than the minor…60 (emphasis added) (Conn. Gen. Stat. § 19a-216 9.)</w:t>
      </w:r>
      <w:sdt>
        <w:sdtPr>
          <w:id w:val="1752705489"/>
          <w:citation/>
        </w:sdtPr>
        <w:sdtContent>
          <w:r w:rsidR="00817C17" w:rsidRPr="00817C17">
            <w:rPr>
              <w:rFonts w:cstheme="minorHAnsi"/>
            </w:rPr>
            <w:fldChar w:fldCharType="begin"/>
          </w:r>
          <w:r w:rsidR="00817C17" w:rsidRPr="00817C17">
            <w:rPr>
              <w:rFonts w:cstheme="minorHAnsi"/>
            </w:rPr>
            <w:instrText xml:space="preserve"> CITATION Abily \l 1033 </w:instrText>
          </w:r>
          <w:r w:rsidR="00817C17" w:rsidRPr="00817C17">
            <w:rPr>
              <w:rFonts w:cstheme="minorHAnsi"/>
            </w:rPr>
            <w:fldChar w:fldCharType="separate"/>
          </w:r>
          <w:r w:rsidR="00817C17" w:rsidRPr="00817C17">
            <w:rPr>
              <w:rFonts w:cstheme="minorHAnsi"/>
              <w:noProof/>
            </w:rPr>
            <w:t xml:space="preserve"> (Abigail English, July)</w:t>
          </w:r>
          <w:r w:rsidR="00817C17" w:rsidRPr="00817C17">
            <w:rPr>
              <w:rFonts w:cstheme="minorHAnsi"/>
            </w:rPr>
            <w:fldChar w:fldCharType="end"/>
          </w:r>
        </w:sdtContent>
      </w:sdt>
    </w:p>
    <w:p w:rsidR="007221C6" w:rsidRDefault="00020EE6" w:rsidP="00020EE6">
      <w:pPr>
        <w:rPr>
          <w:rFonts w:cstheme="minorHAnsi"/>
        </w:rPr>
      </w:pPr>
      <w:r w:rsidRPr="00E81438">
        <w:rPr>
          <w:rFonts w:cstheme="minorHAnsi"/>
        </w:rPr>
        <w:t xml:space="preserve">Hawaii </w:t>
      </w:r>
    </w:p>
    <w:p w:rsidR="00020EE6" w:rsidRPr="007221C6" w:rsidRDefault="00020EE6" w:rsidP="007221C6">
      <w:pPr>
        <w:pStyle w:val="ListParagraph"/>
        <w:numPr>
          <w:ilvl w:val="0"/>
          <w:numId w:val="11"/>
        </w:numPr>
        <w:rPr>
          <w:rFonts w:cstheme="minorHAnsi"/>
        </w:rPr>
      </w:pPr>
      <w:r w:rsidRPr="007221C6">
        <w:rPr>
          <w:rFonts w:cstheme="minorHAnsi"/>
        </w:rPr>
        <w:t>established a mechanism for “minors without support” to consent for their own primary health care and expressly requires that if such a minor does not want information about the care disclosed to a parent, spouse or other family member, the health care provider must inform the insurer when submitting a health insurance claim.</w:t>
      </w:r>
      <w:sdt>
        <w:sdtPr>
          <w:id w:val="379525534"/>
          <w:citation/>
        </w:sdtPr>
        <w:sdtContent>
          <w:r w:rsidR="00817C17" w:rsidRPr="007221C6">
            <w:rPr>
              <w:rFonts w:cstheme="minorHAnsi"/>
            </w:rPr>
            <w:fldChar w:fldCharType="begin"/>
          </w:r>
          <w:r w:rsidR="00817C17" w:rsidRPr="007221C6">
            <w:rPr>
              <w:rFonts w:cstheme="minorHAnsi"/>
            </w:rPr>
            <w:instrText xml:space="preserve"> CITATION Abily \l 1033 </w:instrText>
          </w:r>
          <w:r w:rsidR="00817C17" w:rsidRPr="007221C6">
            <w:rPr>
              <w:rFonts w:cstheme="minorHAnsi"/>
            </w:rPr>
            <w:fldChar w:fldCharType="separate"/>
          </w:r>
          <w:r w:rsidR="00817C17" w:rsidRPr="007221C6">
            <w:rPr>
              <w:rFonts w:cstheme="minorHAnsi"/>
              <w:noProof/>
            </w:rPr>
            <w:t xml:space="preserve"> (Abigail English, July)</w:t>
          </w:r>
          <w:r w:rsidR="00817C17" w:rsidRPr="007221C6">
            <w:rPr>
              <w:rFonts w:cstheme="minorHAnsi"/>
            </w:rPr>
            <w:fldChar w:fldCharType="end"/>
          </w:r>
        </w:sdtContent>
      </w:sdt>
    </w:p>
    <w:p w:rsidR="007221C6" w:rsidRDefault="007221C6" w:rsidP="00020EE6">
      <w:pPr>
        <w:rPr>
          <w:rFonts w:cstheme="minorHAnsi"/>
        </w:rPr>
      </w:pPr>
      <w:r>
        <w:rPr>
          <w:rFonts w:cstheme="minorHAnsi"/>
        </w:rPr>
        <w:t>M</w:t>
      </w:r>
      <w:r w:rsidR="00020EE6" w:rsidRPr="00E81438">
        <w:rPr>
          <w:rFonts w:cstheme="minorHAnsi"/>
        </w:rPr>
        <w:t xml:space="preserve">aine </w:t>
      </w:r>
    </w:p>
    <w:p w:rsidR="00020EE6" w:rsidRPr="007221C6" w:rsidRDefault="00020EE6" w:rsidP="007221C6">
      <w:pPr>
        <w:pStyle w:val="ListParagraph"/>
        <w:numPr>
          <w:ilvl w:val="0"/>
          <w:numId w:val="11"/>
        </w:numPr>
        <w:rPr>
          <w:rFonts w:cstheme="minorHAnsi"/>
        </w:rPr>
      </w:pPr>
      <w:bookmarkStart w:id="0" w:name="_GoBack"/>
      <w:bookmarkEnd w:id="0"/>
      <w:proofErr w:type="gramStart"/>
      <w:r w:rsidRPr="007221C6">
        <w:rPr>
          <w:rFonts w:cstheme="minorHAnsi"/>
        </w:rPr>
        <w:t>specifies</w:t>
      </w:r>
      <w:proofErr w:type="gramEnd"/>
      <w:r w:rsidRPr="007221C6">
        <w:rPr>
          <w:rFonts w:cstheme="minorHAnsi"/>
        </w:rPr>
        <w:t xml:space="preserve"> that a parent may request an explanation of the payment or denial of a claim for a “dependent child” (without specifying the age) who is insured on the parent’s plan but acknowledges that the insured dependent child may have the right to withhold consent to that disclosure.</w:t>
      </w:r>
      <w:sdt>
        <w:sdtPr>
          <w:id w:val="-168572459"/>
          <w:citation/>
        </w:sdtPr>
        <w:sdtContent>
          <w:r w:rsidR="00817C17" w:rsidRPr="007221C6">
            <w:rPr>
              <w:rFonts w:cstheme="minorHAnsi"/>
            </w:rPr>
            <w:fldChar w:fldCharType="begin"/>
          </w:r>
          <w:r w:rsidR="00817C17" w:rsidRPr="007221C6">
            <w:rPr>
              <w:rFonts w:cstheme="minorHAnsi"/>
            </w:rPr>
            <w:instrText xml:space="preserve"> CITATION Abily \l 1033 </w:instrText>
          </w:r>
          <w:r w:rsidR="00817C17" w:rsidRPr="007221C6">
            <w:rPr>
              <w:rFonts w:cstheme="minorHAnsi"/>
            </w:rPr>
            <w:fldChar w:fldCharType="separate"/>
          </w:r>
          <w:r w:rsidR="00817C17" w:rsidRPr="007221C6">
            <w:rPr>
              <w:rFonts w:cstheme="minorHAnsi"/>
              <w:noProof/>
            </w:rPr>
            <w:t xml:space="preserve"> (Abigail English, July)</w:t>
          </w:r>
          <w:r w:rsidR="00817C17" w:rsidRPr="007221C6">
            <w:rPr>
              <w:rFonts w:cstheme="minorHAnsi"/>
            </w:rPr>
            <w:fldChar w:fldCharType="end"/>
          </w:r>
        </w:sdtContent>
      </w:sdt>
    </w:p>
    <w:sdt>
      <w:sdtPr>
        <w:rPr>
          <w:rFonts w:asciiTheme="minorHAnsi" w:hAnsiTheme="minorHAnsi" w:cstheme="minorHAnsi"/>
          <w:sz w:val="22"/>
          <w:szCs w:val="22"/>
        </w:rPr>
        <w:id w:val="-1105496560"/>
        <w:docPartObj>
          <w:docPartGallery w:val="Bibliographies"/>
          <w:docPartUnique/>
        </w:docPartObj>
      </w:sdtPr>
      <w:sdtEndPr>
        <w:rPr>
          <w:rFonts w:eastAsiaTheme="minorHAnsi"/>
          <w:color w:val="auto"/>
        </w:rPr>
      </w:sdtEndPr>
      <w:sdtContent>
        <w:p w:rsidR="00E622E6" w:rsidRPr="00E81438" w:rsidRDefault="00E622E6">
          <w:pPr>
            <w:pStyle w:val="Heading1"/>
            <w:rPr>
              <w:rFonts w:asciiTheme="minorHAnsi" w:hAnsiTheme="minorHAnsi" w:cstheme="minorHAnsi"/>
              <w:sz w:val="22"/>
              <w:szCs w:val="22"/>
            </w:rPr>
          </w:pPr>
          <w:r w:rsidRPr="00E81438">
            <w:rPr>
              <w:rFonts w:asciiTheme="minorHAnsi" w:hAnsiTheme="minorHAnsi" w:cstheme="minorHAnsi"/>
              <w:sz w:val="22"/>
              <w:szCs w:val="22"/>
            </w:rPr>
            <w:t>References</w:t>
          </w:r>
        </w:p>
        <w:sdt>
          <w:sdtPr>
            <w:rPr>
              <w:rFonts w:cstheme="minorHAnsi"/>
            </w:rPr>
            <w:id w:val="-573587230"/>
            <w:bibliography/>
          </w:sdtPr>
          <w:sdtContent>
            <w:p w:rsidR="00E622E6" w:rsidRPr="00E81438" w:rsidRDefault="00E622E6" w:rsidP="00E622E6">
              <w:pPr>
                <w:pStyle w:val="Bibliography"/>
                <w:ind w:left="720" w:hanging="720"/>
                <w:rPr>
                  <w:rFonts w:cstheme="minorHAnsi"/>
                  <w:noProof/>
                </w:rPr>
              </w:pPr>
              <w:r w:rsidRPr="00E81438">
                <w:rPr>
                  <w:rFonts w:cstheme="minorHAnsi"/>
                </w:rPr>
                <w:fldChar w:fldCharType="begin"/>
              </w:r>
              <w:r w:rsidRPr="00E81438">
                <w:rPr>
                  <w:rFonts w:cstheme="minorHAnsi"/>
                </w:rPr>
                <w:instrText xml:space="preserve"> BIBLIOGRAPHY </w:instrText>
              </w:r>
              <w:r w:rsidRPr="00E81438">
                <w:rPr>
                  <w:rFonts w:cstheme="minorHAnsi"/>
                </w:rPr>
                <w:fldChar w:fldCharType="separate"/>
              </w:r>
              <w:r w:rsidRPr="00E81438">
                <w:rPr>
                  <w:rFonts w:cstheme="minorHAnsi"/>
                  <w:noProof/>
                </w:rPr>
                <w:t xml:space="preserve">AAP. (2018, Dec 9/6/19). </w:t>
              </w:r>
              <w:r w:rsidRPr="00E81438">
                <w:rPr>
                  <w:rFonts w:cstheme="minorHAnsi"/>
                  <w:i/>
                  <w:iCs/>
                  <w:noProof/>
                </w:rPr>
                <w:t>Confidentiality for Adolescents and Young Adults Insured as Dependents</w:t>
              </w:r>
              <w:r w:rsidRPr="00E81438">
                <w:rPr>
                  <w:rFonts w:cstheme="minorHAnsi"/>
                  <w:noProof/>
                </w:rPr>
                <w:t>. Retrieved from State Advocacy Focus: https://www.aap.org/en-us/advocacy-and-policy/state-advocacy/Documents/AdolescentConfidentiality.pdf</w:t>
              </w:r>
            </w:p>
            <w:p w:rsidR="00E622E6" w:rsidRPr="00E81438" w:rsidRDefault="00E622E6" w:rsidP="00E622E6">
              <w:pPr>
                <w:pStyle w:val="Bibliography"/>
                <w:ind w:left="720" w:hanging="720"/>
                <w:rPr>
                  <w:rFonts w:cstheme="minorHAnsi"/>
                  <w:noProof/>
                </w:rPr>
              </w:pPr>
              <w:r w:rsidRPr="00E81438">
                <w:rPr>
                  <w:rFonts w:cstheme="minorHAnsi"/>
                  <w:noProof/>
                </w:rPr>
                <w:t xml:space="preserve">Abigail English, R. B. (July, 2012 9/6/19). </w:t>
              </w:r>
              <w:r w:rsidRPr="00E81438">
                <w:rPr>
                  <w:rFonts w:cstheme="minorHAnsi"/>
                  <w:i/>
                  <w:iCs/>
                  <w:noProof/>
                </w:rPr>
                <w:t>Confidentiality for Individuals Insured as Dependents:A Review of State Laws and Policies</w:t>
              </w:r>
              <w:r w:rsidRPr="00E81438">
                <w:rPr>
                  <w:rFonts w:cstheme="minorHAnsi"/>
                  <w:noProof/>
                </w:rPr>
                <w:t>. Retrieved from Public Health Solutions: https://www.guttmacher.org/sites/default/files/report_pdf/confidentiality-review.pdf</w:t>
              </w:r>
            </w:p>
            <w:p w:rsidR="00E622E6" w:rsidRPr="00E81438" w:rsidRDefault="00E622E6" w:rsidP="00E622E6">
              <w:pPr>
                <w:pStyle w:val="Bibliography"/>
                <w:ind w:left="720" w:hanging="720"/>
                <w:rPr>
                  <w:rFonts w:cstheme="minorHAnsi"/>
                  <w:noProof/>
                </w:rPr>
              </w:pPr>
              <w:r w:rsidRPr="00E81438">
                <w:rPr>
                  <w:rFonts w:cstheme="minorHAnsi"/>
                  <w:i/>
                  <w:iCs/>
                  <w:noProof/>
                </w:rPr>
                <w:t>ASTHO</w:t>
              </w:r>
              <w:r w:rsidRPr="00E81438">
                <w:rPr>
                  <w:rFonts w:cstheme="minorHAnsi"/>
                  <w:noProof/>
                </w:rPr>
                <w:t xml:space="preserve">. (2018). Retrieved from State Efforts to Protect Confidentiality for Insured Individuals Accessing Contraception and Other Sensitive Healthcare Services: https://www.astho.org/MCH/State-Efforts-to-Protect-Confidentiality-for-Insured-Individuals-Accessing-Contraception/ </w:t>
              </w:r>
            </w:p>
            <w:p w:rsidR="00E622E6" w:rsidRPr="00E81438" w:rsidRDefault="00E622E6" w:rsidP="00E622E6">
              <w:pPr>
                <w:pStyle w:val="Bibliography"/>
                <w:ind w:left="720" w:hanging="720"/>
                <w:rPr>
                  <w:rFonts w:cstheme="minorHAnsi"/>
                  <w:noProof/>
                </w:rPr>
              </w:pPr>
              <w:r w:rsidRPr="00E81438">
                <w:rPr>
                  <w:rFonts w:cstheme="minorHAnsi"/>
                  <w:noProof/>
                </w:rPr>
                <w:t xml:space="preserve">Donovan, F. (2018, April 16). </w:t>
              </w:r>
              <w:r w:rsidRPr="00E81438">
                <w:rPr>
                  <w:rFonts w:cstheme="minorHAnsi"/>
                  <w:i/>
                  <w:iCs/>
                  <w:noProof/>
                </w:rPr>
                <w:t>Health IT Security</w:t>
              </w:r>
              <w:r w:rsidRPr="00E81438">
                <w:rPr>
                  <w:rFonts w:cstheme="minorHAnsi"/>
                  <w:noProof/>
                </w:rPr>
                <w:t>. Retrieved from Patient Privacy Protections Extended to EOB in Massachusetts: https://healthitsecurity.com/news/patient-privacy-protections-extended-to-eob-in-massachusetts</w:t>
              </w:r>
            </w:p>
            <w:p w:rsidR="00E622E6" w:rsidRPr="00E81438" w:rsidRDefault="00E622E6" w:rsidP="00E622E6">
              <w:pPr>
                <w:pStyle w:val="Bibliography"/>
                <w:ind w:left="720" w:hanging="720"/>
                <w:rPr>
                  <w:rFonts w:cstheme="minorHAnsi"/>
                  <w:noProof/>
                </w:rPr>
              </w:pPr>
              <w:r w:rsidRPr="00E81438">
                <w:rPr>
                  <w:rFonts w:cstheme="minorHAnsi"/>
                  <w:noProof/>
                </w:rPr>
                <w:t xml:space="preserve">Gold, R. B. (2013, December 10). </w:t>
              </w:r>
              <w:r w:rsidRPr="00E81438">
                <w:rPr>
                  <w:rFonts w:cstheme="minorHAnsi"/>
                  <w:i/>
                  <w:iCs/>
                  <w:noProof/>
                </w:rPr>
                <w:t>Guttmacher Policy Review</w:t>
              </w:r>
              <w:r w:rsidRPr="00E81438">
                <w:rPr>
                  <w:rFonts w:cstheme="minorHAnsi"/>
                  <w:noProof/>
                </w:rPr>
                <w:t>. Retrieved from A New Frontier in the Era of Health Reform: Protecting Confidentiality for Individuals Insured as Dependents: https://www.guttmacher.org/gpr/2013/12/new-frontier-era-health-reform-protecting-confidentiality-individuals-insured-dependents</w:t>
              </w:r>
            </w:p>
            <w:p w:rsidR="00E622E6" w:rsidRPr="00E81438" w:rsidRDefault="00E622E6" w:rsidP="00E622E6">
              <w:pPr>
                <w:pStyle w:val="Bibliography"/>
                <w:ind w:left="720" w:hanging="720"/>
                <w:rPr>
                  <w:rFonts w:cstheme="minorHAnsi"/>
                  <w:noProof/>
                </w:rPr>
              </w:pPr>
              <w:r w:rsidRPr="00E81438">
                <w:rPr>
                  <w:rFonts w:cstheme="minorHAnsi"/>
                  <w:i/>
                  <w:iCs/>
                  <w:noProof/>
                </w:rPr>
                <w:lastRenderedPageBreak/>
                <w:t>Schuyler Center for Analysis and Advocacy</w:t>
              </w:r>
              <w:r w:rsidRPr="00E81438">
                <w:rPr>
                  <w:rFonts w:cstheme="minorHAnsi"/>
                  <w:noProof/>
                </w:rPr>
                <w:t>. (2014, June). Retrieved from New York Confidentiality and Insurance: Making sure people feel safe using their health insurance: https://www.scaany.org/wp-content/uploads/2014/06/Confidentiality-and-Insurance-EOB-June2014.pdf</w:t>
              </w:r>
            </w:p>
            <w:p w:rsidR="00E622E6" w:rsidRPr="00E81438" w:rsidRDefault="00E622E6" w:rsidP="00E622E6">
              <w:pPr>
                <w:rPr>
                  <w:rFonts w:cstheme="minorHAnsi"/>
                </w:rPr>
              </w:pPr>
              <w:r w:rsidRPr="00E81438">
                <w:rPr>
                  <w:rFonts w:cstheme="minorHAnsi"/>
                  <w:b/>
                  <w:bCs/>
                  <w:noProof/>
                </w:rPr>
                <w:fldChar w:fldCharType="end"/>
              </w:r>
            </w:p>
          </w:sdtContent>
        </w:sdt>
      </w:sdtContent>
    </w:sdt>
    <w:p w:rsidR="00536E54" w:rsidRPr="00E81438" w:rsidRDefault="00536E54" w:rsidP="00BB0B1A">
      <w:pPr>
        <w:rPr>
          <w:rFonts w:cstheme="minorHAnsi"/>
        </w:rPr>
      </w:pPr>
    </w:p>
    <w:p w:rsidR="00BB0B1A" w:rsidRPr="00E81438" w:rsidRDefault="00BB0B1A">
      <w:pPr>
        <w:rPr>
          <w:rFonts w:cstheme="minorHAnsi"/>
        </w:rPr>
      </w:pPr>
    </w:p>
    <w:sectPr w:rsidR="00BB0B1A" w:rsidRPr="00E81438">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F421D4"/>
    <w:multiLevelType w:val="hybridMultilevel"/>
    <w:tmpl w:val="F0742A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74F69BB"/>
    <w:multiLevelType w:val="hybridMultilevel"/>
    <w:tmpl w:val="D8AA8F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630212"/>
    <w:multiLevelType w:val="hybridMultilevel"/>
    <w:tmpl w:val="E1FC38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B860C54"/>
    <w:multiLevelType w:val="hybridMultilevel"/>
    <w:tmpl w:val="5A2E23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6943771"/>
    <w:multiLevelType w:val="hybridMultilevel"/>
    <w:tmpl w:val="70084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456D1AA0"/>
    <w:multiLevelType w:val="hybridMultilevel"/>
    <w:tmpl w:val="BB764F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6392FF3"/>
    <w:multiLevelType w:val="hybridMultilevel"/>
    <w:tmpl w:val="6EFE5F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BBA3AA7"/>
    <w:multiLevelType w:val="hybridMultilevel"/>
    <w:tmpl w:val="BE569C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C4F1549"/>
    <w:multiLevelType w:val="hybridMultilevel"/>
    <w:tmpl w:val="8C1238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8FB351E"/>
    <w:multiLevelType w:val="hybridMultilevel"/>
    <w:tmpl w:val="FCC48A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C734664"/>
    <w:multiLevelType w:val="hybridMultilevel"/>
    <w:tmpl w:val="4B4624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72F60C91"/>
    <w:multiLevelType w:val="hybridMultilevel"/>
    <w:tmpl w:val="83945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9"/>
  </w:num>
  <w:num w:numId="2">
    <w:abstractNumId w:val="0"/>
  </w:num>
  <w:num w:numId="3">
    <w:abstractNumId w:val="1"/>
  </w:num>
  <w:num w:numId="4">
    <w:abstractNumId w:val="3"/>
  </w:num>
  <w:num w:numId="5">
    <w:abstractNumId w:val="10"/>
  </w:num>
  <w:num w:numId="6">
    <w:abstractNumId w:val="4"/>
  </w:num>
  <w:num w:numId="7">
    <w:abstractNumId w:val="8"/>
  </w:num>
  <w:num w:numId="8">
    <w:abstractNumId w:val="11"/>
  </w:num>
  <w:num w:numId="9">
    <w:abstractNumId w:val="7"/>
  </w:num>
  <w:num w:numId="10">
    <w:abstractNumId w:val="6"/>
  </w:num>
  <w:num w:numId="11">
    <w:abstractNumId w:val="5"/>
  </w:num>
  <w:num w:numId="1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22CC"/>
    <w:rsid w:val="00020EE6"/>
    <w:rsid w:val="0023712D"/>
    <w:rsid w:val="00262E11"/>
    <w:rsid w:val="004D22CC"/>
    <w:rsid w:val="00533595"/>
    <w:rsid w:val="00536E54"/>
    <w:rsid w:val="00563F59"/>
    <w:rsid w:val="00594EDD"/>
    <w:rsid w:val="006E571A"/>
    <w:rsid w:val="00713E3C"/>
    <w:rsid w:val="007221C6"/>
    <w:rsid w:val="00746098"/>
    <w:rsid w:val="0076060B"/>
    <w:rsid w:val="0079465A"/>
    <w:rsid w:val="00817C17"/>
    <w:rsid w:val="008543CB"/>
    <w:rsid w:val="00BB0B1A"/>
    <w:rsid w:val="00C500B2"/>
    <w:rsid w:val="00C85DC3"/>
    <w:rsid w:val="00CC2EC8"/>
    <w:rsid w:val="00D23A12"/>
    <w:rsid w:val="00E622E6"/>
    <w:rsid w:val="00E81438"/>
    <w:rsid w:val="00F3261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0E7CB94"/>
  <w15:chartTrackingRefBased/>
  <w15:docId w15:val="{9FB5C26F-9113-4796-BA35-39A55244C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E622E6"/>
    <w:pPr>
      <w:keepNext/>
      <w:keepLines/>
      <w:spacing w:before="240" w:after="0" w:line="259" w:lineRule="auto"/>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BB0B1A"/>
    <w:rPr>
      <w:color w:val="0000FF"/>
      <w:u w:val="single"/>
    </w:rPr>
  </w:style>
  <w:style w:type="character" w:styleId="FollowedHyperlink">
    <w:name w:val="FollowedHyperlink"/>
    <w:basedOn w:val="DefaultParagraphFont"/>
    <w:uiPriority w:val="99"/>
    <w:semiHidden/>
    <w:unhideWhenUsed/>
    <w:rsid w:val="00536E54"/>
    <w:rPr>
      <w:color w:val="800080" w:themeColor="followedHyperlink"/>
      <w:u w:val="single"/>
    </w:rPr>
  </w:style>
  <w:style w:type="paragraph" w:styleId="NormalWeb">
    <w:name w:val="Normal (Web)"/>
    <w:basedOn w:val="Normal"/>
    <w:uiPriority w:val="99"/>
    <w:unhideWhenUsed/>
    <w:rsid w:val="00536E54"/>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Default">
    <w:name w:val="Default"/>
    <w:rsid w:val="00020EE6"/>
    <w:pPr>
      <w:autoSpaceDE w:val="0"/>
      <w:autoSpaceDN w:val="0"/>
      <w:adjustRightInd w:val="0"/>
      <w:spacing w:after="0" w:line="240" w:lineRule="auto"/>
    </w:pPr>
    <w:rPr>
      <w:rFonts w:ascii="Calibri" w:hAnsi="Calibri" w:cs="Calibri"/>
      <w:color w:val="000000"/>
      <w:sz w:val="24"/>
      <w:szCs w:val="24"/>
    </w:rPr>
  </w:style>
  <w:style w:type="character" w:customStyle="1" w:styleId="Heading1Char">
    <w:name w:val="Heading 1 Char"/>
    <w:basedOn w:val="DefaultParagraphFont"/>
    <w:link w:val="Heading1"/>
    <w:uiPriority w:val="9"/>
    <w:rsid w:val="00E622E6"/>
    <w:rPr>
      <w:rFonts w:asciiTheme="majorHAnsi" w:eastAsiaTheme="majorEastAsia" w:hAnsiTheme="majorHAnsi" w:cstheme="majorBidi"/>
      <w:color w:val="365F91" w:themeColor="accent1" w:themeShade="BF"/>
      <w:sz w:val="32"/>
      <w:szCs w:val="32"/>
    </w:rPr>
  </w:style>
  <w:style w:type="paragraph" w:styleId="Bibliography">
    <w:name w:val="Bibliography"/>
    <w:basedOn w:val="Normal"/>
    <w:next w:val="Normal"/>
    <w:uiPriority w:val="37"/>
    <w:unhideWhenUsed/>
    <w:rsid w:val="00E622E6"/>
  </w:style>
  <w:style w:type="paragraph" w:styleId="ListParagraph">
    <w:name w:val="List Paragraph"/>
    <w:basedOn w:val="Normal"/>
    <w:uiPriority w:val="34"/>
    <w:qFormat/>
    <w:rsid w:val="00C85DC3"/>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46163">
      <w:bodyDiv w:val="1"/>
      <w:marLeft w:val="0"/>
      <w:marRight w:val="0"/>
      <w:marTop w:val="0"/>
      <w:marBottom w:val="0"/>
      <w:divBdr>
        <w:top w:val="none" w:sz="0" w:space="0" w:color="auto"/>
        <w:left w:val="none" w:sz="0" w:space="0" w:color="auto"/>
        <w:bottom w:val="none" w:sz="0" w:space="0" w:color="auto"/>
        <w:right w:val="none" w:sz="0" w:space="0" w:color="auto"/>
      </w:divBdr>
    </w:div>
    <w:div w:id="4285936">
      <w:bodyDiv w:val="1"/>
      <w:marLeft w:val="0"/>
      <w:marRight w:val="0"/>
      <w:marTop w:val="0"/>
      <w:marBottom w:val="0"/>
      <w:divBdr>
        <w:top w:val="none" w:sz="0" w:space="0" w:color="auto"/>
        <w:left w:val="none" w:sz="0" w:space="0" w:color="auto"/>
        <w:bottom w:val="none" w:sz="0" w:space="0" w:color="auto"/>
        <w:right w:val="none" w:sz="0" w:space="0" w:color="auto"/>
      </w:divBdr>
    </w:div>
    <w:div w:id="58140947">
      <w:bodyDiv w:val="1"/>
      <w:marLeft w:val="0"/>
      <w:marRight w:val="0"/>
      <w:marTop w:val="0"/>
      <w:marBottom w:val="0"/>
      <w:divBdr>
        <w:top w:val="none" w:sz="0" w:space="0" w:color="auto"/>
        <w:left w:val="none" w:sz="0" w:space="0" w:color="auto"/>
        <w:bottom w:val="none" w:sz="0" w:space="0" w:color="auto"/>
        <w:right w:val="none" w:sz="0" w:space="0" w:color="auto"/>
      </w:divBdr>
    </w:div>
    <w:div w:id="83573680">
      <w:bodyDiv w:val="1"/>
      <w:marLeft w:val="0"/>
      <w:marRight w:val="0"/>
      <w:marTop w:val="0"/>
      <w:marBottom w:val="0"/>
      <w:divBdr>
        <w:top w:val="none" w:sz="0" w:space="0" w:color="auto"/>
        <w:left w:val="none" w:sz="0" w:space="0" w:color="auto"/>
        <w:bottom w:val="none" w:sz="0" w:space="0" w:color="auto"/>
        <w:right w:val="none" w:sz="0" w:space="0" w:color="auto"/>
      </w:divBdr>
    </w:div>
    <w:div w:id="92670172">
      <w:bodyDiv w:val="1"/>
      <w:marLeft w:val="0"/>
      <w:marRight w:val="0"/>
      <w:marTop w:val="0"/>
      <w:marBottom w:val="0"/>
      <w:divBdr>
        <w:top w:val="none" w:sz="0" w:space="0" w:color="auto"/>
        <w:left w:val="none" w:sz="0" w:space="0" w:color="auto"/>
        <w:bottom w:val="none" w:sz="0" w:space="0" w:color="auto"/>
        <w:right w:val="none" w:sz="0" w:space="0" w:color="auto"/>
      </w:divBdr>
    </w:div>
    <w:div w:id="107049531">
      <w:bodyDiv w:val="1"/>
      <w:marLeft w:val="0"/>
      <w:marRight w:val="0"/>
      <w:marTop w:val="0"/>
      <w:marBottom w:val="0"/>
      <w:divBdr>
        <w:top w:val="none" w:sz="0" w:space="0" w:color="auto"/>
        <w:left w:val="none" w:sz="0" w:space="0" w:color="auto"/>
        <w:bottom w:val="none" w:sz="0" w:space="0" w:color="auto"/>
        <w:right w:val="none" w:sz="0" w:space="0" w:color="auto"/>
      </w:divBdr>
    </w:div>
    <w:div w:id="137846182">
      <w:bodyDiv w:val="1"/>
      <w:marLeft w:val="0"/>
      <w:marRight w:val="0"/>
      <w:marTop w:val="0"/>
      <w:marBottom w:val="0"/>
      <w:divBdr>
        <w:top w:val="none" w:sz="0" w:space="0" w:color="auto"/>
        <w:left w:val="none" w:sz="0" w:space="0" w:color="auto"/>
        <w:bottom w:val="none" w:sz="0" w:space="0" w:color="auto"/>
        <w:right w:val="none" w:sz="0" w:space="0" w:color="auto"/>
      </w:divBdr>
    </w:div>
    <w:div w:id="252203340">
      <w:bodyDiv w:val="1"/>
      <w:marLeft w:val="0"/>
      <w:marRight w:val="0"/>
      <w:marTop w:val="0"/>
      <w:marBottom w:val="0"/>
      <w:divBdr>
        <w:top w:val="none" w:sz="0" w:space="0" w:color="auto"/>
        <w:left w:val="none" w:sz="0" w:space="0" w:color="auto"/>
        <w:bottom w:val="none" w:sz="0" w:space="0" w:color="auto"/>
        <w:right w:val="none" w:sz="0" w:space="0" w:color="auto"/>
      </w:divBdr>
    </w:div>
    <w:div w:id="256256484">
      <w:bodyDiv w:val="1"/>
      <w:marLeft w:val="0"/>
      <w:marRight w:val="0"/>
      <w:marTop w:val="0"/>
      <w:marBottom w:val="0"/>
      <w:divBdr>
        <w:top w:val="none" w:sz="0" w:space="0" w:color="auto"/>
        <w:left w:val="none" w:sz="0" w:space="0" w:color="auto"/>
        <w:bottom w:val="none" w:sz="0" w:space="0" w:color="auto"/>
        <w:right w:val="none" w:sz="0" w:space="0" w:color="auto"/>
      </w:divBdr>
    </w:div>
    <w:div w:id="257298135">
      <w:bodyDiv w:val="1"/>
      <w:marLeft w:val="0"/>
      <w:marRight w:val="0"/>
      <w:marTop w:val="0"/>
      <w:marBottom w:val="0"/>
      <w:divBdr>
        <w:top w:val="none" w:sz="0" w:space="0" w:color="auto"/>
        <w:left w:val="none" w:sz="0" w:space="0" w:color="auto"/>
        <w:bottom w:val="none" w:sz="0" w:space="0" w:color="auto"/>
        <w:right w:val="none" w:sz="0" w:space="0" w:color="auto"/>
      </w:divBdr>
    </w:div>
    <w:div w:id="297145855">
      <w:bodyDiv w:val="1"/>
      <w:marLeft w:val="0"/>
      <w:marRight w:val="0"/>
      <w:marTop w:val="0"/>
      <w:marBottom w:val="0"/>
      <w:divBdr>
        <w:top w:val="none" w:sz="0" w:space="0" w:color="auto"/>
        <w:left w:val="none" w:sz="0" w:space="0" w:color="auto"/>
        <w:bottom w:val="none" w:sz="0" w:space="0" w:color="auto"/>
        <w:right w:val="none" w:sz="0" w:space="0" w:color="auto"/>
      </w:divBdr>
    </w:div>
    <w:div w:id="349450050">
      <w:bodyDiv w:val="1"/>
      <w:marLeft w:val="0"/>
      <w:marRight w:val="0"/>
      <w:marTop w:val="0"/>
      <w:marBottom w:val="0"/>
      <w:divBdr>
        <w:top w:val="none" w:sz="0" w:space="0" w:color="auto"/>
        <w:left w:val="none" w:sz="0" w:space="0" w:color="auto"/>
        <w:bottom w:val="none" w:sz="0" w:space="0" w:color="auto"/>
        <w:right w:val="none" w:sz="0" w:space="0" w:color="auto"/>
      </w:divBdr>
    </w:div>
    <w:div w:id="437332793">
      <w:bodyDiv w:val="1"/>
      <w:marLeft w:val="0"/>
      <w:marRight w:val="0"/>
      <w:marTop w:val="0"/>
      <w:marBottom w:val="0"/>
      <w:divBdr>
        <w:top w:val="none" w:sz="0" w:space="0" w:color="auto"/>
        <w:left w:val="none" w:sz="0" w:space="0" w:color="auto"/>
        <w:bottom w:val="none" w:sz="0" w:space="0" w:color="auto"/>
        <w:right w:val="none" w:sz="0" w:space="0" w:color="auto"/>
      </w:divBdr>
    </w:div>
    <w:div w:id="453792861">
      <w:bodyDiv w:val="1"/>
      <w:marLeft w:val="0"/>
      <w:marRight w:val="0"/>
      <w:marTop w:val="0"/>
      <w:marBottom w:val="0"/>
      <w:divBdr>
        <w:top w:val="none" w:sz="0" w:space="0" w:color="auto"/>
        <w:left w:val="none" w:sz="0" w:space="0" w:color="auto"/>
        <w:bottom w:val="none" w:sz="0" w:space="0" w:color="auto"/>
        <w:right w:val="none" w:sz="0" w:space="0" w:color="auto"/>
      </w:divBdr>
    </w:div>
    <w:div w:id="555244167">
      <w:bodyDiv w:val="1"/>
      <w:marLeft w:val="0"/>
      <w:marRight w:val="0"/>
      <w:marTop w:val="0"/>
      <w:marBottom w:val="0"/>
      <w:divBdr>
        <w:top w:val="none" w:sz="0" w:space="0" w:color="auto"/>
        <w:left w:val="none" w:sz="0" w:space="0" w:color="auto"/>
        <w:bottom w:val="none" w:sz="0" w:space="0" w:color="auto"/>
        <w:right w:val="none" w:sz="0" w:space="0" w:color="auto"/>
      </w:divBdr>
    </w:div>
    <w:div w:id="569272872">
      <w:bodyDiv w:val="1"/>
      <w:marLeft w:val="0"/>
      <w:marRight w:val="0"/>
      <w:marTop w:val="0"/>
      <w:marBottom w:val="0"/>
      <w:divBdr>
        <w:top w:val="none" w:sz="0" w:space="0" w:color="auto"/>
        <w:left w:val="none" w:sz="0" w:space="0" w:color="auto"/>
        <w:bottom w:val="none" w:sz="0" w:space="0" w:color="auto"/>
        <w:right w:val="none" w:sz="0" w:space="0" w:color="auto"/>
      </w:divBdr>
    </w:div>
    <w:div w:id="661005427">
      <w:bodyDiv w:val="1"/>
      <w:marLeft w:val="0"/>
      <w:marRight w:val="0"/>
      <w:marTop w:val="0"/>
      <w:marBottom w:val="0"/>
      <w:divBdr>
        <w:top w:val="none" w:sz="0" w:space="0" w:color="auto"/>
        <w:left w:val="none" w:sz="0" w:space="0" w:color="auto"/>
        <w:bottom w:val="none" w:sz="0" w:space="0" w:color="auto"/>
        <w:right w:val="none" w:sz="0" w:space="0" w:color="auto"/>
      </w:divBdr>
    </w:div>
    <w:div w:id="667290759">
      <w:bodyDiv w:val="1"/>
      <w:marLeft w:val="0"/>
      <w:marRight w:val="0"/>
      <w:marTop w:val="0"/>
      <w:marBottom w:val="0"/>
      <w:divBdr>
        <w:top w:val="none" w:sz="0" w:space="0" w:color="auto"/>
        <w:left w:val="none" w:sz="0" w:space="0" w:color="auto"/>
        <w:bottom w:val="none" w:sz="0" w:space="0" w:color="auto"/>
        <w:right w:val="none" w:sz="0" w:space="0" w:color="auto"/>
      </w:divBdr>
    </w:div>
    <w:div w:id="673336351">
      <w:bodyDiv w:val="1"/>
      <w:marLeft w:val="0"/>
      <w:marRight w:val="0"/>
      <w:marTop w:val="0"/>
      <w:marBottom w:val="0"/>
      <w:divBdr>
        <w:top w:val="none" w:sz="0" w:space="0" w:color="auto"/>
        <w:left w:val="none" w:sz="0" w:space="0" w:color="auto"/>
        <w:bottom w:val="none" w:sz="0" w:space="0" w:color="auto"/>
        <w:right w:val="none" w:sz="0" w:space="0" w:color="auto"/>
      </w:divBdr>
    </w:div>
    <w:div w:id="689986322">
      <w:bodyDiv w:val="1"/>
      <w:marLeft w:val="0"/>
      <w:marRight w:val="0"/>
      <w:marTop w:val="0"/>
      <w:marBottom w:val="0"/>
      <w:divBdr>
        <w:top w:val="none" w:sz="0" w:space="0" w:color="auto"/>
        <w:left w:val="none" w:sz="0" w:space="0" w:color="auto"/>
        <w:bottom w:val="none" w:sz="0" w:space="0" w:color="auto"/>
        <w:right w:val="none" w:sz="0" w:space="0" w:color="auto"/>
      </w:divBdr>
    </w:div>
    <w:div w:id="779957412">
      <w:bodyDiv w:val="1"/>
      <w:marLeft w:val="0"/>
      <w:marRight w:val="0"/>
      <w:marTop w:val="0"/>
      <w:marBottom w:val="0"/>
      <w:divBdr>
        <w:top w:val="none" w:sz="0" w:space="0" w:color="auto"/>
        <w:left w:val="none" w:sz="0" w:space="0" w:color="auto"/>
        <w:bottom w:val="none" w:sz="0" w:space="0" w:color="auto"/>
        <w:right w:val="none" w:sz="0" w:space="0" w:color="auto"/>
      </w:divBdr>
    </w:div>
    <w:div w:id="850217990">
      <w:bodyDiv w:val="1"/>
      <w:marLeft w:val="0"/>
      <w:marRight w:val="0"/>
      <w:marTop w:val="0"/>
      <w:marBottom w:val="0"/>
      <w:divBdr>
        <w:top w:val="none" w:sz="0" w:space="0" w:color="auto"/>
        <w:left w:val="none" w:sz="0" w:space="0" w:color="auto"/>
        <w:bottom w:val="none" w:sz="0" w:space="0" w:color="auto"/>
        <w:right w:val="none" w:sz="0" w:space="0" w:color="auto"/>
      </w:divBdr>
    </w:div>
    <w:div w:id="851408718">
      <w:bodyDiv w:val="1"/>
      <w:marLeft w:val="0"/>
      <w:marRight w:val="0"/>
      <w:marTop w:val="0"/>
      <w:marBottom w:val="0"/>
      <w:divBdr>
        <w:top w:val="none" w:sz="0" w:space="0" w:color="auto"/>
        <w:left w:val="none" w:sz="0" w:space="0" w:color="auto"/>
        <w:bottom w:val="none" w:sz="0" w:space="0" w:color="auto"/>
        <w:right w:val="none" w:sz="0" w:space="0" w:color="auto"/>
      </w:divBdr>
    </w:div>
    <w:div w:id="954943266">
      <w:bodyDiv w:val="1"/>
      <w:marLeft w:val="0"/>
      <w:marRight w:val="0"/>
      <w:marTop w:val="0"/>
      <w:marBottom w:val="0"/>
      <w:divBdr>
        <w:top w:val="none" w:sz="0" w:space="0" w:color="auto"/>
        <w:left w:val="none" w:sz="0" w:space="0" w:color="auto"/>
        <w:bottom w:val="none" w:sz="0" w:space="0" w:color="auto"/>
        <w:right w:val="none" w:sz="0" w:space="0" w:color="auto"/>
      </w:divBdr>
    </w:div>
    <w:div w:id="964771246">
      <w:bodyDiv w:val="1"/>
      <w:marLeft w:val="0"/>
      <w:marRight w:val="0"/>
      <w:marTop w:val="0"/>
      <w:marBottom w:val="0"/>
      <w:divBdr>
        <w:top w:val="none" w:sz="0" w:space="0" w:color="auto"/>
        <w:left w:val="none" w:sz="0" w:space="0" w:color="auto"/>
        <w:bottom w:val="none" w:sz="0" w:space="0" w:color="auto"/>
        <w:right w:val="none" w:sz="0" w:space="0" w:color="auto"/>
      </w:divBdr>
    </w:div>
    <w:div w:id="1010375549">
      <w:bodyDiv w:val="1"/>
      <w:marLeft w:val="0"/>
      <w:marRight w:val="0"/>
      <w:marTop w:val="0"/>
      <w:marBottom w:val="0"/>
      <w:divBdr>
        <w:top w:val="none" w:sz="0" w:space="0" w:color="auto"/>
        <w:left w:val="none" w:sz="0" w:space="0" w:color="auto"/>
        <w:bottom w:val="none" w:sz="0" w:space="0" w:color="auto"/>
        <w:right w:val="none" w:sz="0" w:space="0" w:color="auto"/>
      </w:divBdr>
    </w:div>
    <w:div w:id="1024163053">
      <w:bodyDiv w:val="1"/>
      <w:marLeft w:val="0"/>
      <w:marRight w:val="0"/>
      <w:marTop w:val="0"/>
      <w:marBottom w:val="0"/>
      <w:divBdr>
        <w:top w:val="none" w:sz="0" w:space="0" w:color="auto"/>
        <w:left w:val="none" w:sz="0" w:space="0" w:color="auto"/>
        <w:bottom w:val="none" w:sz="0" w:space="0" w:color="auto"/>
        <w:right w:val="none" w:sz="0" w:space="0" w:color="auto"/>
      </w:divBdr>
    </w:div>
    <w:div w:id="1047799703">
      <w:bodyDiv w:val="1"/>
      <w:marLeft w:val="0"/>
      <w:marRight w:val="0"/>
      <w:marTop w:val="0"/>
      <w:marBottom w:val="0"/>
      <w:divBdr>
        <w:top w:val="none" w:sz="0" w:space="0" w:color="auto"/>
        <w:left w:val="none" w:sz="0" w:space="0" w:color="auto"/>
        <w:bottom w:val="none" w:sz="0" w:space="0" w:color="auto"/>
        <w:right w:val="none" w:sz="0" w:space="0" w:color="auto"/>
      </w:divBdr>
    </w:div>
    <w:div w:id="1069111370">
      <w:bodyDiv w:val="1"/>
      <w:marLeft w:val="0"/>
      <w:marRight w:val="0"/>
      <w:marTop w:val="0"/>
      <w:marBottom w:val="0"/>
      <w:divBdr>
        <w:top w:val="none" w:sz="0" w:space="0" w:color="auto"/>
        <w:left w:val="none" w:sz="0" w:space="0" w:color="auto"/>
        <w:bottom w:val="none" w:sz="0" w:space="0" w:color="auto"/>
        <w:right w:val="none" w:sz="0" w:space="0" w:color="auto"/>
      </w:divBdr>
    </w:div>
    <w:div w:id="1075249357">
      <w:bodyDiv w:val="1"/>
      <w:marLeft w:val="0"/>
      <w:marRight w:val="0"/>
      <w:marTop w:val="0"/>
      <w:marBottom w:val="0"/>
      <w:divBdr>
        <w:top w:val="none" w:sz="0" w:space="0" w:color="auto"/>
        <w:left w:val="none" w:sz="0" w:space="0" w:color="auto"/>
        <w:bottom w:val="none" w:sz="0" w:space="0" w:color="auto"/>
        <w:right w:val="none" w:sz="0" w:space="0" w:color="auto"/>
      </w:divBdr>
    </w:div>
    <w:div w:id="1089154089">
      <w:bodyDiv w:val="1"/>
      <w:marLeft w:val="0"/>
      <w:marRight w:val="0"/>
      <w:marTop w:val="0"/>
      <w:marBottom w:val="0"/>
      <w:divBdr>
        <w:top w:val="none" w:sz="0" w:space="0" w:color="auto"/>
        <w:left w:val="none" w:sz="0" w:space="0" w:color="auto"/>
        <w:bottom w:val="none" w:sz="0" w:space="0" w:color="auto"/>
        <w:right w:val="none" w:sz="0" w:space="0" w:color="auto"/>
      </w:divBdr>
    </w:div>
    <w:div w:id="1127236848">
      <w:bodyDiv w:val="1"/>
      <w:marLeft w:val="0"/>
      <w:marRight w:val="0"/>
      <w:marTop w:val="0"/>
      <w:marBottom w:val="0"/>
      <w:divBdr>
        <w:top w:val="none" w:sz="0" w:space="0" w:color="auto"/>
        <w:left w:val="none" w:sz="0" w:space="0" w:color="auto"/>
        <w:bottom w:val="none" w:sz="0" w:space="0" w:color="auto"/>
        <w:right w:val="none" w:sz="0" w:space="0" w:color="auto"/>
      </w:divBdr>
    </w:div>
    <w:div w:id="1150705480">
      <w:bodyDiv w:val="1"/>
      <w:marLeft w:val="0"/>
      <w:marRight w:val="0"/>
      <w:marTop w:val="0"/>
      <w:marBottom w:val="0"/>
      <w:divBdr>
        <w:top w:val="none" w:sz="0" w:space="0" w:color="auto"/>
        <w:left w:val="none" w:sz="0" w:space="0" w:color="auto"/>
        <w:bottom w:val="none" w:sz="0" w:space="0" w:color="auto"/>
        <w:right w:val="none" w:sz="0" w:space="0" w:color="auto"/>
      </w:divBdr>
    </w:div>
    <w:div w:id="1167860278">
      <w:bodyDiv w:val="1"/>
      <w:marLeft w:val="0"/>
      <w:marRight w:val="0"/>
      <w:marTop w:val="0"/>
      <w:marBottom w:val="0"/>
      <w:divBdr>
        <w:top w:val="none" w:sz="0" w:space="0" w:color="auto"/>
        <w:left w:val="none" w:sz="0" w:space="0" w:color="auto"/>
        <w:bottom w:val="none" w:sz="0" w:space="0" w:color="auto"/>
        <w:right w:val="none" w:sz="0" w:space="0" w:color="auto"/>
      </w:divBdr>
    </w:div>
    <w:div w:id="1221674585">
      <w:bodyDiv w:val="1"/>
      <w:marLeft w:val="0"/>
      <w:marRight w:val="0"/>
      <w:marTop w:val="0"/>
      <w:marBottom w:val="0"/>
      <w:divBdr>
        <w:top w:val="none" w:sz="0" w:space="0" w:color="auto"/>
        <w:left w:val="none" w:sz="0" w:space="0" w:color="auto"/>
        <w:bottom w:val="none" w:sz="0" w:space="0" w:color="auto"/>
        <w:right w:val="none" w:sz="0" w:space="0" w:color="auto"/>
      </w:divBdr>
    </w:div>
    <w:div w:id="1257861775">
      <w:bodyDiv w:val="1"/>
      <w:marLeft w:val="0"/>
      <w:marRight w:val="0"/>
      <w:marTop w:val="0"/>
      <w:marBottom w:val="0"/>
      <w:divBdr>
        <w:top w:val="none" w:sz="0" w:space="0" w:color="auto"/>
        <w:left w:val="none" w:sz="0" w:space="0" w:color="auto"/>
        <w:bottom w:val="none" w:sz="0" w:space="0" w:color="auto"/>
        <w:right w:val="none" w:sz="0" w:space="0" w:color="auto"/>
      </w:divBdr>
    </w:div>
    <w:div w:id="1366639770">
      <w:bodyDiv w:val="1"/>
      <w:marLeft w:val="0"/>
      <w:marRight w:val="0"/>
      <w:marTop w:val="0"/>
      <w:marBottom w:val="0"/>
      <w:divBdr>
        <w:top w:val="none" w:sz="0" w:space="0" w:color="auto"/>
        <w:left w:val="none" w:sz="0" w:space="0" w:color="auto"/>
        <w:bottom w:val="none" w:sz="0" w:space="0" w:color="auto"/>
        <w:right w:val="none" w:sz="0" w:space="0" w:color="auto"/>
      </w:divBdr>
    </w:div>
    <w:div w:id="1377002887">
      <w:bodyDiv w:val="1"/>
      <w:marLeft w:val="0"/>
      <w:marRight w:val="0"/>
      <w:marTop w:val="0"/>
      <w:marBottom w:val="0"/>
      <w:divBdr>
        <w:top w:val="none" w:sz="0" w:space="0" w:color="auto"/>
        <w:left w:val="none" w:sz="0" w:space="0" w:color="auto"/>
        <w:bottom w:val="none" w:sz="0" w:space="0" w:color="auto"/>
        <w:right w:val="none" w:sz="0" w:space="0" w:color="auto"/>
      </w:divBdr>
    </w:div>
    <w:div w:id="1403022041">
      <w:bodyDiv w:val="1"/>
      <w:marLeft w:val="0"/>
      <w:marRight w:val="0"/>
      <w:marTop w:val="0"/>
      <w:marBottom w:val="0"/>
      <w:divBdr>
        <w:top w:val="none" w:sz="0" w:space="0" w:color="auto"/>
        <w:left w:val="none" w:sz="0" w:space="0" w:color="auto"/>
        <w:bottom w:val="none" w:sz="0" w:space="0" w:color="auto"/>
        <w:right w:val="none" w:sz="0" w:space="0" w:color="auto"/>
      </w:divBdr>
    </w:div>
    <w:div w:id="1440612438">
      <w:bodyDiv w:val="1"/>
      <w:marLeft w:val="0"/>
      <w:marRight w:val="0"/>
      <w:marTop w:val="0"/>
      <w:marBottom w:val="0"/>
      <w:divBdr>
        <w:top w:val="none" w:sz="0" w:space="0" w:color="auto"/>
        <w:left w:val="none" w:sz="0" w:space="0" w:color="auto"/>
        <w:bottom w:val="none" w:sz="0" w:space="0" w:color="auto"/>
        <w:right w:val="none" w:sz="0" w:space="0" w:color="auto"/>
      </w:divBdr>
    </w:div>
    <w:div w:id="1465930203">
      <w:bodyDiv w:val="1"/>
      <w:marLeft w:val="0"/>
      <w:marRight w:val="0"/>
      <w:marTop w:val="0"/>
      <w:marBottom w:val="0"/>
      <w:divBdr>
        <w:top w:val="none" w:sz="0" w:space="0" w:color="auto"/>
        <w:left w:val="none" w:sz="0" w:space="0" w:color="auto"/>
        <w:bottom w:val="none" w:sz="0" w:space="0" w:color="auto"/>
        <w:right w:val="none" w:sz="0" w:space="0" w:color="auto"/>
      </w:divBdr>
    </w:div>
    <w:div w:id="1512525238">
      <w:bodyDiv w:val="1"/>
      <w:marLeft w:val="0"/>
      <w:marRight w:val="0"/>
      <w:marTop w:val="0"/>
      <w:marBottom w:val="0"/>
      <w:divBdr>
        <w:top w:val="none" w:sz="0" w:space="0" w:color="auto"/>
        <w:left w:val="none" w:sz="0" w:space="0" w:color="auto"/>
        <w:bottom w:val="none" w:sz="0" w:space="0" w:color="auto"/>
        <w:right w:val="none" w:sz="0" w:space="0" w:color="auto"/>
      </w:divBdr>
    </w:div>
    <w:div w:id="1579972137">
      <w:bodyDiv w:val="1"/>
      <w:marLeft w:val="0"/>
      <w:marRight w:val="0"/>
      <w:marTop w:val="0"/>
      <w:marBottom w:val="0"/>
      <w:divBdr>
        <w:top w:val="none" w:sz="0" w:space="0" w:color="auto"/>
        <w:left w:val="none" w:sz="0" w:space="0" w:color="auto"/>
        <w:bottom w:val="none" w:sz="0" w:space="0" w:color="auto"/>
        <w:right w:val="none" w:sz="0" w:space="0" w:color="auto"/>
      </w:divBdr>
    </w:div>
    <w:div w:id="1615015208">
      <w:bodyDiv w:val="1"/>
      <w:marLeft w:val="0"/>
      <w:marRight w:val="0"/>
      <w:marTop w:val="0"/>
      <w:marBottom w:val="0"/>
      <w:divBdr>
        <w:top w:val="none" w:sz="0" w:space="0" w:color="auto"/>
        <w:left w:val="none" w:sz="0" w:space="0" w:color="auto"/>
        <w:bottom w:val="none" w:sz="0" w:space="0" w:color="auto"/>
        <w:right w:val="none" w:sz="0" w:space="0" w:color="auto"/>
      </w:divBdr>
    </w:div>
    <w:div w:id="1703434403">
      <w:bodyDiv w:val="1"/>
      <w:marLeft w:val="0"/>
      <w:marRight w:val="0"/>
      <w:marTop w:val="0"/>
      <w:marBottom w:val="0"/>
      <w:divBdr>
        <w:top w:val="none" w:sz="0" w:space="0" w:color="auto"/>
        <w:left w:val="none" w:sz="0" w:space="0" w:color="auto"/>
        <w:bottom w:val="none" w:sz="0" w:space="0" w:color="auto"/>
        <w:right w:val="none" w:sz="0" w:space="0" w:color="auto"/>
      </w:divBdr>
    </w:div>
    <w:div w:id="1709065342">
      <w:bodyDiv w:val="1"/>
      <w:marLeft w:val="0"/>
      <w:marRight w:val="0"/>
      <w:marTop w:val="0"/>
      <w:marBottom w:val="0"/>
      <w:divBdr>
        <w:top w:val="none" w:sz="0" w:space="0" w:color="auto"/>
        <w:left w:val="none" w:sz="0" w:space="0" w:color="auto"/>
        <w:bottom w:val="none" w:sz="0" w:space="0" w:color="auto"/>
        <w:right w:val="none" w:sz="0" w:space="0" w:color="auto"/>
      </w:divBdr>
    </w:div>
    <w:div w:id="1887452881">
      <w:bodyDiv w:val="1"/>
      <w:marLeft w:val="0"/>
      <w:marRight w:val="0"/>
      <w:marTop w:val="0"/>
      <w:marBottom w:val="0"/>
      <w:divBdr>
        <w:top w:val="none" w:sz="0" w:space="0" w:color="auto"/>
        <w:left w:val="none" w:sz="0" w:space="0" w:color="auto"/>
        <w:bottom w:val="none" w:sz="0" w:space="0" w:color="auto"/>
        <w:right w:val="none" w:sz="0" w:space="0" w:color="auto"/>
      </w:divBdr>
    </w:div>
    <w:div w:id="1989895597">
      <w:bodyDiv w:val="1"/>
      <w:marLeft w:val="0"/>
      <w:marRight w:val="0"/>
      <w:marTop w:val="0"/>
      <w:marBottom w:val="0"/>
      <w:divBdr>
        <w:top w:val="none" w:sz="0" w:space="0" w:color="auto"/>
        <w:left w:val="none" w:sz="0" w:space="0" w:color="auto"/>
        <w:bottom w:val="none" w:sz="0" w:space="0" w:color="auto"/>
        <w:right w:val="none" w:sz="0" w:space="0" w:color="auto"/>
      </w:divBdr>
    </w:div>
    <w:div w:id="1991977881">
      <w:bodyDiv w:val="1"/>
      <w:marLeft w:val="0"/>
      <w:marRight w:val="0"/>
      <w:marTop w:val="0"/>
      <w:marBottom w:val="0"/>
      <w:divBdr>
        <w:top w:val="none" w:sz="0" w:space="0" w:color="auto"/>
        <w:left w:val="none" w:sz="0" w:space="0" w:color="auto"/>
        <w:bottom w:val="none" w:sz="0" w:space="0" w:color="auto"/>
        <w:right w:val="none" w:sz="0" w:space="0" w:color="auto"/>
      </w:divBdr>
    </w:div>
    <w:div w:id="2002926081">
      <w:bodyDiv w:val="1"/>
      <w:marLeft w:val="0"/>
      <w:marRight w:val="0"/>
      <w:marTop w:val="0"/>
      <w:marBottom w:val="0"/>
      <w:divBdr>
        <w:top w:val="none" w:sz="0" w:space="0" w:color="auto"/>
        <w:left w:val="none" w:sz="0" w:space="0" w:color="auto"/>
        <w:bottom w:val="none" w:sz="0" w:space="0" w:color="auto"/>
        <w:right w:val="none" w:sz="0" w:space="0" w:color="auto"/>
      </w:divBdr>
    </w:div>
    <w:div w:id="2032024660">
      <w:bodyDiv w:val="1"/>
      <w:marLeft w:val="0"/>
      <w:marRight w:val="0"/>
      <w:marTop w:val="0"/>
      <w:marBottom w:val="0"/>
      <w:divBdr>
        <w:top w:val="none" w:sz="0" w:space="0" w:color="auto"/>
        <w:left w:val="none" w:sz="0" w:space="0" w:color="auto"/>
        <w:bottom w:val="none" w:sz="0" w:space="0" w:color="auto"/>
        <w:right w:val="none" w:sz="0" w:space="0" w:color="auto"/>
      </w:divBdr>
    </w:div>
    <w:div w:id="2055499669">
      <w:bodyDiv w:val="1"/>
      <w:marLeft w:val="0"/>
      <w:marRight w:val="0"/>
      <w:marTop w:val="0"/>
      <w:marBottom w:val="0"/>
      <w:divBdr>
        <w:top w:val="none" w:sz="0" w:space="0" w:color="auto"/>
        <w:left w:val="none" w:sz="0" w:space="0" w:color="auto"/>
        <w:bottom w:val="none" w:sz="0" w:space="0" w:color="auto"/>
        <w:right w:val="none" w:sz="0" w:space="0" w:color="auto"/>
      </w:divBdr>
    </w:div>
    <w:div w:id="21049583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hcfama.org/sites/default/files/eob_confidentiality_legislative_fact_sheet_4.8.16.pdf" TargetMode="External"/><Relationship Id="rId13" Type="http://schemas.openxmlformats.org/officeDocument/2006/relationships/customXml" Target="../customXml/item2.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customXml" Target="../customXml/item4.xml"/><Relationship Id="rId10" Type="http://schemas.openxmlformats.org/officeDocument/2006/relationships/hyperlink" Target="http://www.telegram.com/item/20180411/hogans-bill-on-patient-privacy-is-now-law" TargetMode="External"/><Relationship Id="rId4" Type="http://schemas.openxmlformats.org/officeDocument/2006/relationships/settings" Target="settings.xml"/><Relationship Id="rId9" Type="http://schemas.openxmlformats.org/officeDocument/2006/relationships/hyperlink" Target="https://malegislature.gov/Bills/190/S2296" TargetMode="External"/><Relationship Id="rId14" Type="http://schemas.openxmlformats.org/officeDocument/2006/relationships/customXml" Target="../customXml/item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AAP18</b:Tag>
    <b:SourceType>InternetSite</b:SourceType>
    <b:Guid>{CC03B9CA-63B0-43B4-B1F6-5D285E7A1EC3}</b:Guid>
    <b:Title>Confidentiality for Adolescents and Young Adults Insured as Dependents</b:Title>
    <b:Year>2018</b:Year>
    <b:Author>
      <b:Author>
        <b:NameList>
          <b:Person>
            <b:Last>AAP</b:Last>
          </b:Person>
        </b:NameList>
      </b:Author>
    </b:Author>
    <b:InternetSiteTitle>State Advocacy Focus</b:InternetSiteTitle>
    <b:Month>Dec</b:Month>
    <b:Day>9/6/19</b:Day>
    <b:URL>https://www.aap.org/en-us/advocacy-and-policy/state-advocacy/Documents/AdolescentConfidentiality.pdf</b:URL>
    <b:RefOrder>1</b:RefOrder>
  </b:Source>
  <b:Source>
    <b:Tag>Abily</b:Tag>
    <b:SourceType>InternetSite</b:SourceType>
    <b:Guid>{84398608-5E02-4779-811F-7F77AD7FE890}</b:Guid>
    <b:Author>
      <b:Author>
        <b:NameList>
          <b:Person>
            <b:Last>Abigail English</b:Last>
            <b:First>Rachel</b:First>
            <b:Middle>Benson Gold, Elizabeth Nash and Jane Levine</b:Middle>
          </b:Person>
        </b:NameList>
      </b:Author>
    </b:Author>
    <b:Title>Confidentiality for Individuals Insured as Dependents:A Review of State Laws and Policies</b:Title>
    <b:InternetSiteTitle>Public Health Solutions</b:InternetSiteTitle>
    <b:Year>July</b:Year>
    <b:Month>2012</b:Month>
    <b:Day>9/6/19</b:Day>
    <b:URL>https://www.guttmacher.org/sites/default/files/report_pdf/confidentiality-review.pdf</b:URL>
    <b:RefOrder>5</b:RefOrder>
  </b:Source>
  <b:Source>
    <b:Tag>AST18</b:Tag>
    <b:SourceType>InternetSite</b:SourceType>
    <b:Guid>{6BAB4B28-0BF8-4BC8-97F5-5C1CDD86F3C8}</b:Guid>
    <b:Title>ASTHO</b:Title>
    <b:InternetSiteTitle>State Efforts to Protect Confidentiality for Insured Individuals Accessing Contraception and Other Sensitive Healthcare Services</b:InternetSiteTitle>
    <b:Year>2018</b:Year>
    <b:URL>https://www.astho.org/MCH/State-Efforts-to-Protect-Confidentiality-for-Insured-Individuals-Accessing-Contraception/ </b:URL>
    <b:RefOrder>2</b:RefOrder>
  </b:Source>
  <b:Source>
    <b:Tag>Fre18</b:Tag>
    <b:SourceType>InternetSite</b:SourceType>
    <b:Guid>{164C3C0F-5379-40C5-BD19-BB335778B9ED}</b:Guid>
    <b:Author>
      <b:Author>
        <b:NameList>
          <b:Person>
            <b:Last>Donovan</b:Last>
            <b:First>Fred</b:First>
          </b:Person>
        </b:NameList>
      </b:Author>
    </b:Author>
    <b:Title>Health IT Security</b:Title>
    <b:InternetSiteTitle>Patient Privacy Protections Extended to EOB in Massachusetts</b:InternetSiteTitle>
    <b:Year>2018</b:Year>
    <b:Month>April</b:Month>
    <b:Day>16</b:Day>
    <b:URL>https://healthitsecurity.com/news/patient-privacy-protections-extended-to-eob-in-massachusetts</b:URL>
    <b:RefOrder>6</b:RefOrder>
  </b:Source>
  <b:Source>
    <b:Tag>Sch14</b:Tag>
    <b:SourceType>InternetSite</b:SourceType>
    <b:Guid>{235B1F29-51CC-48BB-84BE-FB28639481BC}</b:Guid>
    <b:Title>Schuyler Center for Analysis and Advocacy</b:Title>
    <b:InternetSiteTitle>New York Confidentiality and Insurance: Making sure people feel safe using their health insurance</b:InternetSiteTitle>
    <b:Year>2014</b:Year>
    <b:Month>June</b:Month>
    <b:URL>https://www.scaany.org/wp-content/uploads/2014/06/Confidentiality-and-Insurance-EOB-June2014.pdf</b:URL>
    <b:RefOrder>3</b:RefOrder>
  </b:Source>
  <b:Source>
    <b:Tag>Rac13</b:Tag>
    <b:SourceType>InternetSite</b:SourceType>
    <b:Guid>{F99E8E06-5E73-4F68-B368-743684AE4B86}</b:Guid>
    <b:Author>
      <b:Author>
        <b:NameList>
          <b:Person>
            <b:Last>Gold</b:Last>
            <b:First>Rachel</b:First>
            <b:Middle>Benson</b:Middle>
          </b:Person>
        </b:NameList>
      </b:Author>
    </b:Author>
    <b:Title>Guttmacher Policy Review</b:Title>
    <b:InternetSiteTitle>A New Frontier in the Era of Health Reform: Protecting Confidentiality for Individuals Insured as Dependents</b:InternetSiteTitle>
    <b:Year>2013</b:Year>
    <b:Month>December</b:Month>
    <b:Day>10</b:Day>
    <b:URL>https://www.guttmacher.org/gpr/2013/12/new-frontier-era-health-reform-protecting-confidentiality-individuals-insured-dependents</b:URL>
    <b:RefOrder>4</b:RefOrder>
  </b:Source>
</b:Sources>
</file>

<file path=customXml/item2.xml><?xml version="1.0" encoding="utf-8"?>
<ct:contentTypeSchema xmlns:ct="http://schemas.microsoft.com/office/2006/metadata/contentType" xmlns:ma="http://schemas.microsoft.com/office/2006/metadata/properties/metaAttributes" ct:_="" ma:_="" ma:contentTypeName="Document" ma:contentTypeID="0x01010095D7B08CC4615946951129309185E6B3" ma:contentTypeVersion="14" ma:contentTypeDescription="Create a new document." ma:contentTypeScope="" ma:versionID="27f82883134af39c91990fc71cab764e">
  <xsd:schema xmlns:xsd="http://www.w3.org/2001/XMLSchema" xmlns:xs="http://www.w3.org/2001/XMLSchema" xmlns:p="http://schemas.microsoft.com/office/2006/metadata/properties" xmlns:ns1="http://schemas.microsoft.com/sharepoint/v3" xmlns:ns2="88e5af70-23d9-497e-9656-fb60bdf4ada8" xmlns:ns3="9b771609-0120-477b-9d53-aa5be8968714" targetNamespace="http://schemas.microsoft.com/office/2006/metadata/properties" ma:root="true" ma:fieldsID="c10d58847cbf8bd17fab94a729942c46" ns1:_="" ns2:_="" ns3:_="">
    <xsd:import namespace="http://schemas.microsoft.com/sharepoint/v3"/>
    <xsd:import namespace="88e5af70-23d9-497e-9656-fb60bdf4ada8"/>
    <xsd:import namespace="9b771609-0120-477b-9d53-aa5be8968714"/>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2:MediaServiceAutoKeyPoints" minOccurs="0"/>
                <xsd:element ref="ns2:MediaServiceKeyPoints" minOccurs="0"/>
                <xsd:element ref="ns2:MediaServiceGenerationTime" minOccurs="0"/>
                <xsd:element ref="ns2:MediaServiceEventHashCode" minOccurs="0"/>
                <xsd:element ref="ns3:SharedWithUsers" minOccurs="0"/>
                <xsd:element ref="ns3:SharedWithDetails" minOccurs="0"/>
                <xsd:element ref="ns1:_ip_UnifiedCompliancePolicyProperties" minOccurs="0"/>
                <xsd:element ref="ns1:_ip_UnifiedCompliancePolicyUIAc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0" nillable="true" ma:displayName="Unified Compliance Policy Properties" ma:hidden="true" ma:internalName="_ip_UnifiedCompliancePolicyProperties">
      <xsd:simpleType>
        <xsd:restriction base="dms:Note"/>
      </xsd:simpleType>
    </xsd:element>
    <xsd:element name="_ip_UnifiedCompliancePolicyUIAction" ma:index="21"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88e5af70-23d9-497e-9656-fb60bdf4ad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b771609-0120-477b-9d53-aa5be8968714"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_ip_UnifiedCompliancePolicyProperties xmlns="http://schemas.microsoft.com/sharepoint/v3" xsi:nil="true"/>
  </documentManagement>
</p:properties>
</file>

<file path=customXml/itemProps1.xml><?xml version="1.0" encoding="utf-8"?>
<ds:datastoreItem xmlns:ds="http://schemas.openxmlformats.org/officeDocument/2006/customXml" ds:itemID="{B71C9937-1C0F-4F59-9346-F86E467F00E3}">
  <ds:schemaRefs>
    <ds:schemaRef ds:uri="http://schemas.openxmlformats.org/officeDocument/2006/bibliography"/>
  </ds:schemaRefs>
</ds:datastoreItem>
</file>

<file path=customXml/itemProps2.xml><?xml version="1.0" encoding="utf-8"?>
<ds:datastoreItem xmlns:ds="http://schemas.openxmlformats.org/officeDocument/2006/customXml" ds:itemID="{9C1BADF3-4940-4489-98C4-8C51D7044744}"/>
</file>

<file path=customXml/itemProps3.xml><?xml version="1.0" encoding="utf-8"?>
<ds:datastoreItem xmlns:ds="http://schemas.openxmlformats.org/officeDocument/2006/customXml" ds:itemID="{4EA48D3C-F8A2-4FAE-982D-AB531E6CECFF}"/>
</file>

<file path=customXml/itemProps4.xml><?xml version="1.0" encoding="utf-8"?>
<ds:datastoreItem xmlns:ds="http://schemas.openxmlformats.org/officeDocument/2006/customXml" ds:itemID="{ADF1ADC2-5529-4B77-B948-6A536ACC074F}"/>
</file>

<file path=docProps/app.xml><?xml version="1.0" encoding="utf-8"?>
<Properties xmlns="http://schemas.openxmlformats.org/officeDocument/2006/extended-properties" xmlns:vt="http://schemas.openxmlformats.org/officeDocument/2006/docPropsVTypes">
  <Template>Normal</Template>
  <TotalTime>168</TotalTime>
  <Pages>7</Pages>
  <Words>2251</Words>
  <Characters>12833</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Hughes, Denise A.</dc:creator>
  <cp:keywords/>
  <dc:description/>
  <cp:lastModifiedBy>Denise Hughes</cp:lastModifiedBy>
  <cp:revision>13</cp:revision>
  <dcterms:created xsi:type="dcterms:W3CDTF">2019-09-09T13:00:00Z</dcterms:created>
  <dcterms:modified xsi:type="dcterms:W3CDTF">2019-09-09T15:50:00Z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0x01010095D7B08CC4615946951129309185E6B3</vt:lpwstr>
  </property>
</Properties>
</file>